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56CA" w:rsidRPr="00D256CA" w:rsidRDefault="00556884" w:rsidP="00D256CA">
      <w:pPr>
        <w:pStyle w:val="Capoverso"/>
        <w:spacing w:line="240" w:lineRule="auto"/>
        <w:rPr>
          <w:sz w:val="2"/>
          <w:szCs w:val="2"/>
        </w:rPr>
      </w:pPr>
      <w:bookmarkStart w:id="0" w:name="_GoBack"/>
      <w:bookmarkEnd w:id="0"/>
      <w:r>
        <w:rPr>
          <w:noProof/>
          <w:lang w:eastAsia="it-IT"/>
        </w:rPr>
        <mc:AlternateContent>
          <mc:Choice Requires="wps">
            <w:drawing>
              <wp:anchor distT="0" distB="0" distL="114300" distR="114300" simplePos="0" relativeHeight="251662336" behindDoc="0" locked="0" layoutInCell="1" allowOverlap="1">
                <wp:simplePos x="0" y="0"/>
                <wp:positionH relativeFrom="column">
                  <wp:posOffset>123058</wp:posOffset>
                </wp:positionH>
                <wp:positionV relativeFrom="paragraph">
                  <wp:posOffset>-698549</wp:posOffset>
                </wp:positionV>
                <wp:extent cx="6198920" cy="611579"/>
                <wp:effectExtent l="0" t="0" r="0" b="0"/>
                <wp:wrapNone/>
                <wp:docPr id="1" name="Rettangolo 1"/>
                <wp:cNvGraphicFramePr/>
                <a:graphic xmlns:a="http://schemas.openxmlformats.org/drawingml/2006/main">
                  <a:graphicData uri="http://schemas.microsoft.com/office/word/2010/wordprocessingShape">
                    <wps:wsp>
                      <wps:cNvSpPr/>
                      <wps:spPr>
                        <a:xfrm>
                          <a:off x="0" y="0"/>
                          <a:ext cx="6198920" cy="61157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85C79A" id="Rettangolo 1" o:spid="_x0000_s1026" style="position:absolute;margin-left:9.7pt;margin-top:-55pt;width:488.1pt;height:48.1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" fillcolor="white [3212]" stroked="f" strokeweight="1pt"/>
            </w:pict>
          </mc:Fallback>
        </mc:AlternateContent>
      </w:r>
      <w:r w:rsidRPr="007712CC">
        <w:rPr>
          <w:noProof/>
          <w:lang w:eastAsia="it-IT"/>
        </w:rPr>
        <w:drawing>
          <wp:anchor distT="0" distB="0" distL="114300" distR="114300" simplePos="0" relativeHeight="251658240" behindDoc="0" locked="0" layoutInCell="1" allowOverlap="1">
            <wp:simplePos x="0" y="0"/>
            <wp:positionH relativeFrom="column">
              <wp:posOffset>10160</wp:posOffset>
            </wp:positionH>
            <wp:positionV relativeFrom="paragraph">
              <wp:posOffset>-4956</wp:posOffset>
            </wp:positionV>
            <wp:extent cx="6120130" cy="2495550"/>
            <wp:effectExtent l="0" t="0" r="0" b="0"/>
            <wp:wrapNone/>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6120130" cy="2495550"/>
                    </a:xfrm>
                    <a:prstGeom prst="rect">
                      <a:avLst/>
                    </a:prstGeom>
                  </pic:spPr>
                </pic:pic>
              </a:graphicData>
            </a:graphic>
          </wp:anchor>
        </w:drawing>
      </w:r>
    </w:p>
    <w:p w:rsidR="00D256CA" w:rsidRDefault="00D256CA"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D03A69" w:rsidRDefault="00D03A69" w:rsidP="00744289">
      <w:pPr>
        <w:pStyle w:val="Capoverso"/>
      </w:pPr>
    </w:p>
    <w:p w:rsidR="00556884" w:rsidRDefault="00556884" w:rsidP="00D256CA">
      <w:pPr>
        <w:pStyle w:val="TitolodellaParte"/>
        <w:pBdr>
          <w:top w:val="none" w:sz="0" w:space="0" w:color="auto"/>
        </w:pBdr>
        <w:shd w:val="clear" w:color="auto" w:fill="FFFFFF"/>
        <w:spacing w:before="240" w:after="240" w:line="276" w:lineRule="auto"/>
        <w:jc w:val="right"/>
        <w:rPr>
          <w:rFonts w:ascii="Univers LT Std 57 Cn" w:eastAsia="Calibri" w:hAnsi="Univers LT Std 57 Cn"/>
          <w:color w:val="3333FF"/>
          <w:sz w:val="22"/>
          <w:szCs w:val="16"/>
          <w:lang w:eastAsia="en-US"/>
        </w:rPr>
      </w:pPr>
    </w:p>
    <w:p w:rsidR="00556884" w:rsidRDefault="00556884" w:rsidP="00D256CA">
      <w:pPr>
        <w:pStyle w:val="TitolodellaParte"/>
        <w:pBdr>
          <w:top w:val="none" w:sz="0" w:space="0" w:color="auto"/>
        </w:pBdr>
        <w:shd w:val="clear" w:color="auto" w:fill="FFFFFF"/>
        <w:spacing w:before="240" w:after="240" w:line="276" w:lineRule="auto"/>
        <w:jc w:val="right"/>
        <w:rPr>
          <w:rFonts w:ascii="Univers LT Std 57 Cn" w:eastAsia="Calibri" w:hAnsi="Univers LT Std 57 Cn"/>
          <w:color w:val="3333FF"/>
          <w:sz w:val="22"/>
          <w:szCs w:val="16"/>
          <w:lang w:eastAsia="en-US"/>
        </w:rPr>
      </w:pPr>
    </w:p>
    <w:p w:rsidR="00D256CA" w:rsidRPr="007712CC" w:rsidRDefault="00D256CA" w:rsidP="00D256CA">
      <w:pPr>
        <w:pStyle w:val="TitolodellaParte"/>
        <w:pBdr>
          <w:top w:val="none" w:sz="0" w:space="0" w:color="auto"/>
        </w:pBdr>
        <w:shd w:val="clear" w:color="auto" w:fill="FFFFFF"/>
        <w:spacing w:before="240" w:after="240" w:line="276" w:lineRule="auto"/>
        <w:jc w:val="right"/>
        <w:rPr>
          <w:b/>
          <w:color w:val="00000A"/>
          <w:sz w:val="24"/>
          <w:szCs w:val="20"/>
        </w:rPr>
      </w:pPr>
      <w:r w:rsidRPr="007712CC">
        <w:rPr>
          <w:rFonts w:ascii="Univers LT Std 57 Cn" w:eastAsia="Calibri" w:hAnsi="Univers LT Std 57 Cn"/>
          <w:color w:val="3333FF"/>
          <w:sz w:val="22"/>
          <w:szCs w:val="16"/>
          <w:lang w:eastAsia="en-US"/>
        </w:rPr>
        <w:t>Processo penale e giustizia n. 6</w:t>
      </w:r>
      <w:r>
        <w:rPr>
          <w:rFonts w:ascii="Univers LT Std 57 Cn" w:eastAsia="Calibri" w:hAnsi="Univers LT Std 57 Cn"/>
          <w:color w:val="3333FF"/>
          <w:sz w:val="22"/>
          <w:szCs w:val="16"/>
          <w:lang w:eastAsia="en-US"/>
        </w:rPr>
        <w:t xml:space="preserve"> | 2020</w:t>
      </w:r>
    </w:p>
    <w:tbl>
      <w:tblPr>
        <w:tblW w:w="0" w:type="auto"/>
        <w:tblInd w:w="1701" w:type="dxa"/>
        <w:shd w:val="clear" w:color="auto" w:fill="587BB8"/>
        <w:tblLook w:val="04A0" w:firstRow="1" w:lastRow="0" w:firstColumn="1" w:lastColumn="0" w:noHBand="0" w:noVBand="1"/>
      </w:tblPr>
      <w:tblGrid>
        <w:gridCol w:w="8046"/>
      </w:tblGrid>
      <w:tr w:rsidR="00D256CA" w:rsidRPr="007712CC" w:rsidTr="00D256CA">
        <w:tc>
          <w:tcPr>
            <w:tcW w:w="8046" w:type="dxa"/>
            <w:shd w:val="clear" w:color="auto" w:fill="587BB8"/>
          </w:tcPr>
          <w:p w:rsidR="00D256CA" w:rsidRPr="007712CC" w:rsidRDefault="00D256CA" w:rsidP="00D256CA">
            <w:pPr>
              <w:pStyle w:val="TitolodellaParte"/>
              <w:pBdr>
                <w:top w:val="none" w:sz="0" w:space="0" w:color="auto"/>
              </w:pBdr>
              <w:spacing w:before="120" w:line="560" w:lineRule="exact"/>
              <w:ind w:left="142" w:right="142"/>
              <w:rPr>
                <w:b/>
                <w:color w:val="FFFFFF"/>
              </w:rPr>
            </w:pPr>
            <w:r w:rsidRPr="007712CC">
              <w:rPr>
                <w:b/>
                <w:color w:val="FFFFFF"/>
              </w:rPr>
              <w:t>Scenari</w:t>
            </w:r>
          </w:p>
        </w:tc>
      </w:tr>
      <w:tr w:rsidR="00D256CA" w:rsidRPr="007712CC" w:rsidTr="00D256CA">
        <w:tc>
          <w:tcPr>
            <w:tcW w:w="8046" w:type="dxa"/>
            <w:shd w:val="clear" w:color="auto" w:fill="587BB8"/>
          </w:tcPr>
          <w:p w:rsidR="00D256CA" w:rsidRPr="007712CC" w:rsidRDefault="00D256CA" w:rsidP="00D256CA">
            <w:pPr>
              <w:pStyle w:val="TitolodellaParte"/>
              <w:pBdr>
                <w:top w:val="none" w:sz="0" w:space="0" w:color="auto"/>
              </w:pBdr>
              <w:spacing w:before="120" w:line="560" w:lineRule="exact"/>
              <w:ind w:left="142" w:right="142"/>
              <w:rPr>
                <w:b/>
                <w:color w:val="FFFFFF"/>
              </w:rPr>
            </w:pPr>
            <w:r w:rsidRPr="007712CC">
              <w:rPr>
                <w:b/>
                <w:i/>
                <w:color w:val="FFFFFF"/>
              </w:rPr>
              <w:t>Overviews</w:t>
            </w:r>
          </w:p>
        </w:tc>
      </w:tr>
    </w:tbl>
    <w:p w:rsidR="00D256CA" w:rsidRDefault="00D256CA" w:rsidP="00D256CA">
      <w:pPr>
        <w:pStyle w:val="Capoverso"/>
      </w:pPr>
    </w:p>
    <w:p w:rsidR="00D256CA" w:rsidRDefault="00556884" w:rsidP="00D256CA">
      <w:pPr>
        <w:pStyle w:val="Capoverso"/>
      </w:pPr>
      <w:r>
        <w:rPr>
          <w:noProof/>
          <w:lang w:eastAsia="it-IT"/>
        </w:rPr>
        <mc:AlternateContent>
          <mc:Choice Requires="wps">
            <w:drawing>
              <wp:anchor distT="0" distB="0" distL="114300" distR="114300" simplePos="0" relativeHeight="251664384" behindDoc="0" locked="0" layoutInCell="1" allowOverlap="1" wp14:anchorId="4CBB2B9C" wp14:editId="4384D9A9">
                <wp:simplePos x="0" y="0"/>
                <wp:positionH relativeFrom="column">
                  <wp:posOffset>-343246</wp:posOffset>
                </wp:positionH>
                <wp:positionV relativeFrom="paragraph">
                  <wp:posOffset>4557164</wp:posOffset>
                </wp:positionV>
                <wp:extent cx="6636673" cy="611579"/>
                <wp:effectExtent l="0" t="0" r="0" b="0"/>
                <wp:wrapNone/>
                <wp:docPr id="3" name="Rettangolo 3"/>
                <wp:cNvGraphicFramePr/>
                <a:graphic xmlns:a="http://schemas.openxmlformats.org/drawingml/2006/main">
                  <a:graphicData uri="http://schemas.microsoft.com/office/word/2010/wordprocessingShape">
                    <wps:wsp>
                      <wps:cNvSpPr/>
                      <wps:spPr>
                        <a:xfrm>
                          <a:off x="0" y="0"/>
                          <a:ext cx="6636673" cy="61157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F4DFCA" id="Rettangolo 3" o:spid="_x0000_s1026" style="position:absolute;margin-left:-27.05pt;margin-top:358.85pt;width:522.55pt;height:48.1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" fillcolor="white [3212]" stroked="f" strokeweight="1pt"/>
            </w:pict>
          </mc:Fallback>
        </mc:AlternateContent>
      </w:r>
      <w:r w:rsidR="00D256CA">
        <w:br w:type="page"/>
      </w:r>
    </w:p>
    <w:p w:rsidR="00DE5E9C" w:rsidRPr="00DE5E9C" w:rsidRDefault="00DE5E9C" w:rsidP="00DE5E9C">
      <w:pPr>
        <w:pStyle w:val="Capoverso"/>
        <w:spacing w:line="240" w:lineRule="auto"/>
        <w:rPr>
          <w:sz w:val="2"/>
          <w:szCs w:val="2"/>
        </w:rPr>
      </w:pPr>
    </w:p>
    <w:p w:rsidR="00E43AAE" w:rsidRPr="00EF46BA" w:rsidRDefault="00E43AAE" w:rsidP="00DE5E9C">
      <w:pPr>
        <w:pStyle w:val="TitoloScenari"/>
      </w:pPr>
      <w:r w:rsidRPr="00EF46BA">
        <w:t>Novità legislative interne</w:t>
      </w:r>
    </w:p>
    <w:p w:rsidR="00DE5E9C" w:rsidRPr="000D35CA" w:rsidRDefault="00E43AAE" w:rsidP="00DE5E9C">
      <w:pPr>
        <w:pStyle w:val="Titoloscenariinglese"/>
        <w:rPr>
          <w:lang w:val="it-IT"/>
        </w:rPr>
      </w:pPr>
      <w:r w:rsidRPr="000D35CA">
        <w:rPr>
          <w:lang w:val="it-IT"/>
        </w:rPr>
        <w:t>National Legislative News</w:t>
      </w:r>
    </w:p>
    <w:p w:rsidR="0072278C" w:rsidRDefault="00E43AAE" w:rsidP="00DE5E9C">
      <w:pPr>
        <w:pStyle w:val="AutoreScenari"/>
      </w:pPr>
      <w:r w:rsidRPr="00DE5E9C">
        <w:rPr>
          <w:i w:val="0"/>
        </w:rPr>
        <w:t xml:space="preserve">di </w:t>
      </w:r>
      <w:r>
        <w:t>Ada F</w:t>
      </w:r>
      <w:r w:rsidRPr="00EF46BA">
        <w:t>amiglietti</w:t>
      </w:r>
    </w:p>
    <w:p w:rsidR="0072278C" w:rsidRDefault="00E43AAE" w:rsidP="00DE5E9C">
      <w:pPr>
        <w:pStyle w:val="Paragrafo"/>
      </w:pPr>
      <w:r w:rsidRPr="009669D9">
        <w:t>Disposizioni urgenti in materia di immigrazione, protezione internazionale e complementare, modifica agli articoli 131-</w:t>
      </w:r>
      <w:r w:rsidRPr="00556884">
        <w:rPr>
          <w:i/>
        </w:rPr>
        <w:t>bis</w:t>
      </w:r>
      <w:r w:rsidRPr="009669D9">
        <w:t xml:space="preserve"> e 588 del codice penale, nonché misure in materia di divieto di accesso agli esercizi pubblici ed ai locali di pubblico trattenimento e di contrasto all</w:t>
      </w:r>
      <w:r w:rsidR="0072278C">
        <w:t>’</w:t>
      </w:r>
      <w:r w:rsidR="00556884">
        <w:t>utilizzo distorto del web</w:t>
      </w:r>
    </w:p>
    <w:p w:rsidR="00E43AAE" w:rsidRPr="00D41919" w:rsidRDefault="00E43AAE" w:rsidP="00942862">
      <w:pPr>
        <w:pStyle w:val="Capoverso"/>
        <w:spacing w:line="254" w:lineRule="exact"/>
      </w:pPr>
      <w:r w:rsidRPr="00D41919">
        <w:t>Il Consiglio dei Ministri, su proposta del Ministro dell</w:t>
      </w:r>
      <w:r w:rsidR="0072278C">
        <w:t>’</w:t>
      </w:r>
      <w:r w:rsidRPr="00D41919">
        <w:t xml:space="preserve">interno, ha emanato </w:t>
      </w:r>
      <w:r>
        <w:t>il 5</w:t>
      </w:r>
      <w:r w:rsidRPr="00D41919">
        <w:t xml:space="preserve"> ottobre 2020 un decreto legge che rappresenta un parziale superamento dei decreti sicurezza, ossia il d.l. 4 ottobre 2018, n. 113, convertito nella l. 1° dicembre 2018, n. 132, e il d.l. 14 giugno 2019, n. 53 (c.d. decreto sicurezza </w:t>
      </w:r>
      <w:r w:rsidRPr="000D35CA">
        <w:rPr>
          <w:i/>
        </w:rPr>
        <w:t>bis</w:t>
      </w:r>
      <w:r w:rsidRPr="00D41919">
        <w:t>), convertito dalla l. 8 agosto 2019, n. 77. Punto di partenza delle modifiche, evidenzia la relazione illustrativa, è la necessità «di dar seguito alle osservazioni formulate dalla Presidenza della Repubblica», unitamente a una ritrovata «coerenza tra le disposizioni legislative interne» e quelle del Parlamento e del Consiglio dell</w:t>
      </w:r>
      <w:r w:rsidR="0072278C">
        <w:t>’</w:t>
      </w:r>
      <w:r w:rsidRPr="00D41919">
        <w:t xml:space="preserve">Unione europea. </w:t>
      </w:r>
      <w:r w:rsidRPr="00D41919">
        <w:rPr>
          <w:rFonts w:cstheme="minorHAnsi"/>
        </w:rPr>
        <w:t>«</w:t>
      </w:r>
      <w:r w:rsidRPr="00D41919">
        <w:t>Il principio del rispetto degli obblighi costituziona</w:t>
      </w:r>
      <w:r>
        <w:t xml:space="preserve">li e internazionali costituisce, </w:t>
      </w:r>
      <w:r w:rsidRPr="00D41919">
        <w:t>pertanto</w:t>
      </w:r>
      <w:r>
        <w:t>,</w:t>
      </w:r>
      <w:r w:rsidRPr="00D41919">
        <w:t xml:space="preserve"> il primo fondamento del provvedimento».</w:t>
      </w:r>
    </w:p>
    <w:p w:rsidR="00E43AAE" w:rsidRPr="00D41919" w:rsidRDefault="00E43AAE" w:rsidP="00942862">
      <w:pPr>
        <w:pStyle w:val="Capoverso"/>
        <w:spacing w:line="254" w:lineRule="exact"/>
      </w:pPr>
      <w:r w:rsidRPr="00D41919">
        <w:t>Alla discrezionalità nel conferimento della tutela, che di fatto aboliva i permessi di soggiorno per motivi umanitari, la normativa vigente contrappone il divieto di espulsione e respingimento nel caso in cui il rimpatrio determini, per l</w:t>
      </w:r>
      <w:r w:rsidR="0072278C">
        <w:t>’</w:t>
      </w:r>
      <w:r w:rsidRPr="00D41919">
        <w:t xml:space="preserve">interessato, </w:t>
      </w:r>
      <w:r>
        <w:t xml:space="preserve">il </w:t>
      </w:r>
      <w:r w:rsidRPr="006C2322">
        <w:t xml:space="preserve">pericolo </w:t>
      </w:r>
      <w:r w:rsidRPr="00D41919">
        <w:t xml:space="preserve">di essere sottoposto a trattamenti inumani o degradanti. Resta in vigore il divieto di espulsione e respingimento nel caso di rischio di tortura; mentre si introduce il divieto di espulsione conseguente al </w:t>
      </w:r>
      <w:r>
        <w:t xml:space="preserve">pericolo </w:t>
      </w:r>
      <w:r w:rsidRPr="00D41919">
        <w:t>di violazione del diritto al rispetto della propria vita privata e familiare. In queste situazioni è previsto il rilascio di permesso di soggiorno per protezione speciale, previo parere della Commissione territoriale per il riconoscimento della protezione internazionale. Il decreto prevede, quindi, «un ampliamento delle competenze attribuit</w:t>
      </w:r>
      <w:r>
        <w:t xml:space="preserve">e alle Commissioni territoriali», che sono, </w:t>
      </w:r>
      <w:r w:rsidRPr="00D41919">
        <w:t>sottolinea la relazione illustrativa,</w:t>
      </w:r>
      <w:r>
        <w:t xml:space="preserve"> </w:t>
      </w:r>
      <w:r w:rsidRPr="00D41919">
        <w:t>«organismi di specifica competenza tecnica in materia, composti anche da un esperto in materia di protezione internazionale e di tutela dei diritti umani, designato dell</w:t>
      </w:r>
      <w:r w:rsidR="0072278C">
        <w:t>’</w:t>
      </w:r>
      <w:r w:rsidRPr="00D41919">
        <w:t>Unhcr». In base al decreto le Commissioni ora sono chiamate a decidere anche su situazioni «diverse da quelle della protezione internazionale» come, ad esempio, i casi di «divieto di espulsione per stranieri che versano in condizioni di salute di particolare gravità».</w:t>
      </w:r>
    </w:p>
    <w:p w:rsidR="00E43AAE" w:rsidRPr="00D41919" w:rsidRDefault="00E43AAE" w:rsidP="00DE5E9C">
      <w:pPr>
        <w:pStyle w:val="Capoverso"/>
      </w:pPr>
      <w:r w:rsidRPr="00D41919">
        <w:t>Il provvedimento disciplina la convertibilità dei permessi di soggiorno rilasciati per altre ragioni in permessi di lavoro. Alle categorie già previste, si aggiungono quelle di protezione speciale, calamità, residenza elettiva, acquisto della cittadinanza o dello stato di apolide, attività sportiva, lavoro di tipo artistico, motivi religiosi e assistenza ai minori.</w:t>
      </w:r>
    </w:p>
    <w:p w:rsidR="00E43AAE" w:rsidRPr="00D41919" w:rsidRDefault="00E43AAE" w:rsidP="00DE5E9C">
      <w:pPr>
        <w:pStyle w:val="Capoverso"/>
      </w:pPr>
      <w:r w:rsidRPr="00D41919">
        <w:t>Viene istituito il nuovo “sistema di accoglienza e integrazione”, rivolto ai richiedenti protezione internazionale e ai titolari di protezione. Le attività di prima assistenza proseguiranno nei centri governativi ordinari e straordinari. Successivamente, il sistema si suddividerà in due livelli di prestazioni: il primo dedicato ai richiedenti protezione internazionale, il secondo a coloro che ne sono già titolari, con servizi aggiuntiv</w:t>
      </w:r>
      <w:r>
        <w:t>i finalizzati all</w:t>
      </w:r>
      <w:r w:rsidR="0072278C">
        <w:t>’</w:t>
      </w:r>
      <w:r>
        <w:t>integrazione.</w:t>
      </w:r>
    </w:p>
    <w:p w:rsidR="0072278C" w:rsidRDefault="00E43AAE" w:rsidP="00DE5E9C">
      <w:pPr>
        <w:pStyle w:val="Capoverso"/>
      </w:pPr>
      <w:r w:rsidRPr="00D41919">
        <w:t>Il testo interviene poi sulle contestate sanzioni relative al divieto di transito delle navi nel mare territoriale. Si prevede che, nel caso in cui ricorrano i motivi di ordine e sicurezza pubblica o di violazione delle norme sul traffico di migranti via mare, il provvedimento di divieto sia adottato, su proposta del Ministro dell</w:t>
      </w:r>
      <w:r w:rsidR="0072278C">
        <w:t>’</w:t>
      </w:r>
      <w:r w:rsidRPr="00D41919">
        <w:t>interno, di concerto con il Ministro della difesa e con il Ministro delle infrastrutture, previa informazione al Presidente del Consiglio. Per le operazioni di soccorso, la disciplina</w:t>
      </w:r>
      <w:r>
        <w:t xml:space="preserve"> di divieto non si applicherà a</w:t>
      </w:r>
      <w:r w:rsidRPr="00D41919">
        <w:t>ll</w:t>
      </w:r>
      <w:r w:rsidR="0072278C">
        <w:t>’</w:t>
      </w:r>
      <w:r w:rsidRPr="00D41919">
        <w:t>ipotesi in cui vi sia stata la comunicazione al centro di coordinamento ed allo Stato di bandiera</w:t>
      </w:r>
      <w:r>
        <w:t>,</w:t>
      </w:r>
      <w:r w:rsidRPr="00D41919">
        <w:t xml:space="preserve"> e siano rispettate le indicazioni della competente autorità per la ricerca ed il soccorso in mare. In caso di violazione del divieto, si richiama la disciplina vigente del Codice della navigazione, che prevede la reclusione fino a due anni e una</w:t>
      </w:r>
      <w:r>
        <w:t xml:space="preserve"> multa da 10.000 a 50.000 euro, con la eliminazione delle </w:t>
      </w:r>
      <w:r w:rsidRPr="00D41919">
        <w:t>sanzioni amministrative</w:t>
      </w:r>
      <w:r>
        <w:t xml:space="preserve"> introdotte nel 2019.</w:t>
      </w:r>
    </w:p>
    <w:p w:rsidR="00E43AAE" w:rsidRPr="00D41919" w:rsidRDefault="00E43AAE" w:rsidP="00DE5E9C">
      <w:pPr>
        <w:pStyle w:val="Capoverso"/>
      </w:pPr>
      <w:r w:rsidRPr="00D41919">
        <w:lastRenderedPageBreak/>
        <w:t>Inoltre i migranti richiedenti asilo potranno di nuovo richiedere l</w:t>
      </w:r>
      <w:r w:rsidR="0072278C">
        <w:t>’</w:t>
      </w:r>
      <w:r w:rsidRPr="00D41919">
        <w:t>iscrizione all</w:t>
      </w:r>
      <w:r w:rsidR="0072278C">
        <w:t>’</w:t>
      </w:r>
      <w:r w:rsidRPr="00D41919">
        <w:t>anagrafe, esclusa dai decreti sicurezza del 2018 e 2019. Qui la Corte costituzionale, con sentenza n. 186 del 9 luglio 2020 ha dichiarato l</w:t>
      </w:r>
      <w:r w:rsidR="0072278C">
        <w:t>’</w:t>
      </w:r>
      <w:r w:rsidRPr="00D41919">
        <w:t>illegittimità dell</w:t>
      </w:r>
      <w:r w:rsidR="0072278C">
        <w:t>’</w:t>
      </w:r>
      <w:r w:rsidRPr="00D41919">
        <w:t>art. 13 d.l. 113 del 2018, che precludeva l</w:t>
      </w:r>
      <w:r w:rsidR="0072278C">
        <w:t>’</w:t>
      </w:r>
      <w:r w:rsidRPr="00D41919">
        <w:t>iscrizione anagrafica per i richiedenti asi</w:t>
      </w:r>
      <w:r>
        <w:t>lo, per violazione dell</w:t>
      </w:r>
      <w:r w:rsidR="0072278C">
        <w:t>’</w:t>
      </w:r>
      <w:r>
        <w:t>art.</w:t>
      </w:r>
      <w:r w:rsidRPr="00D41919">
        <w:t xml:space="preserve"> 3 Cost. Il testo del nuovo decreto legge è «diretto a dare ordine alla materia, con l</w:t>
      </w:r>
      <w:r w:rsidR="0072278C">
        <w:t>’</w:t>
      </w:r>
      <w:r w:rsidRPr="00D41919">
        <w:t>affermazione del diritto all</w:t>
      </w:r>
      <w:r w:rsidR="0072278C">
        <w:t>’</w:t>
      </w:r>
      <w:r w:rsidRPr="00D41919">
        <w:t>iscrizione anagrafica, la disciplina delle relative modalità e regola anche il rilascio della carta d</w:t>
      </w:r>
      <w:r w:rsidR="0072278C">
        <w:t>’</w:t>
      </w:r>
      <w:r w:rsidRPr="00D41919">
        <w:t>identità».</w:t>
      </w:r>
    </w:p>
    <w:p w:rsidR="00E43AAE" w:rsidRPr="00D41919" w:rsidRDefault="00E43AAE" w:rsidP="00DE5E9C">
      <w:pPr>
        <w:pStyle w:val="Capoverso"/>
      </w:pPr>
      <w:r w:rsidRPr="00D41919">
        <w:t xml:space="preserve">Sul versante delle norme introdotte a garanzia della sicurezza pubblica, il provvedimento implementa sia le misure del divieto di ingresso nei pubblici esercizi e nei locali di pubblico trattenimento o nelle loro adiacenze, sia le misure di contrasto al fenomeno dello spaccio di stupefacenti attraverso siti </w:t>
      </w:r>
      <w:r w:rsidRPr="000D35CA">
        <w:rPr>
          <w:i/>
        </w:rPr>
        <w:t>web</w:t>
      </w:r>
      <w:r w:rsidRPr="00D41919">
        <w:t>. Nel primo caso, si estende il c.d. “Daspo urbano”, rendendo possibile per il questore applicare il divieto di accesso nei locali pubblici anche nei confronti dei soggetti che abbiano riportato una o più denunce o una condanna non definitiva, nel corso degli ultimi tre anni, relativamente alla vendita o cessione di sostanze stupefacenti o psicotrope. La sanzione conseguente alla violazione del divieto prevede la pena della reclusione da sei mesi a due anni e la multa da 8.000 a 20.000 euro. Nel secondo caso, invece, si prevede l</w:t>
      </w:r>
      <w:r w:rsidR="0072278C">
        <w:t>’</w:t>
      </w:r>
      <w:r w:rsidRPr="00D41919">
        <w:t>oscuramento dei siti internet che, sulla base di elementi oggettivi, devono ritenersi utilizzati per la commissione di reati in materia di stupefacenti, così ampliando l</w:t>
      </w:r>
      <w:r w:rsidR="0072278C">
        <w:t>’</w:t>
      </w:r>
      <w:r w:rsidRPr="00D41919">
        <w:t xml:space="preserve">ambito di applicabilità di una misura già attuata per il contrasto alla pedopornografia </w:t>
      </w:r>
      <w:r w:rsidRPr="000D35CA">
        <w:rPr>
          <w:i/>
        </w:rPr>
        <w:t>online</w:t>
      </w:r>
      <w:r w:rsidRPr="00D41919">
        <w:t>.</w:t>
      </w:r>
    </w:p>
    <w:p w:rsidR="00E43AAE" w:rsidRPr="00D41919" w:rsidRDefault="00E43AAE" w:rsidP="00DE5E9C">
      <w:pPr>
        <w:pStyle w:val="Capoverso"/>
      </w:pPr>
      <w:r w:rsidRPr="00D41919">
        <w:t>Inoltre, si inaspriscono le pene per i soggetti coinvolti in risse, prevedendo che, qualora qualcuno resti ucciso o riporti lesioni personali, il solo fatto della partecipazione alla stessa sia punibile con la reclusione da sei mesi a sei anni.</w:t>
      </w:r>
    </w:p>
    <w:p w:rsidR="00E43AAE" w:rsidRDefault="00E43AAE" w:rsidP="00DE5E9C">
      <w:pPr>
        <w:pStyle w:val="Capoverso"/>
      </w:pPr>
      <w:r>
        <w:t xml:space="preserve">Un ulteriore segmento di norme concerne </w:t>
      </w:r>
      <w:r w:rsidRPr="00D41919">
        <w:t>l</w:t>
      </w:r>
      <w:r w:rsidR="0072278C">
        <w:t>’</w:t>
      </w:r>
      <w:r w:rsidRPr="00D41919">
        <w:t xml:space="preserve">esercizio delle attività del Garante nazionale dei diritti delle persone private della libertà </w:t>
      </w:r>
      <w:r>
        <w:t>personale. Si stabilisce, inoltre, l</w:t>
      </w:r>
      <w:r w:rsidR="0072278C">
        <w:t>’</w:t>
      </w:r>
      <w:r>
        <w:t xml:space="preserve">inasprimento </w:t>
      </w:r>
      <w:r w:rsidRPr="00D41919">
        <w:t>dell</w:t>
      </w:r>
      <w:r>
        <w:t>e sanzioni applicate nell</w:t>
      </w:r>
      <w:r w:rsidR="0072278C">
        <w:t>’</w:t>
      </w:r>
      <w:r>
        <w:t xml:space="preserve">ipotesi di </w:t>
      </w:r>
      <w:r w:rsidRPr="00D41919">
        <w:t>comunicazioni dei detenuti sottoposti alle restrizioni di cui all</w:t>
      </w:r>
      <w:r w:rsidR="0072278C">
        <w:t>’</w:t>
      </w:r>
      <w:r w:rsidRPr="00D41919">
        <w:t>art. 41-</w:t>
      </w:r>
      <w:r w:rsidRPr="000D35CA">
        <w:rPr>
          <w:i/>
        </w:rPr>
        <w:t>bis</w:t>
      </w:r>
      <w:r>
        <w:t xml:space="preserve"> ord. penit.; infine, viene disciplinata </w:t>
      </w:r>
      <w:r w:rsidRPr="00D41919">
        <w:t>una nuova f</w:t>
      </w:r>
      <w:r>
        <w:t xml:space="preserve">attispecie di reato che punisce </w:t>
      </w:r>
      <w:r w:rsidRPr="00D41919">
        <w:t>chi introduce o detiene all</w:t>
      </w:r>
      <w:r w:rsidR="0072278C">
        <w:t>’</w:t>
      </w:r>
      <w:r w:rsidRPr="00D41919">
        <w:t>interno di istituti penitenziari telefoni cellulari o dispositivi mobili di comunicazione.</w:t>
      </w:r>
    </w:p>
    <w:p w:rsidR="00E43AAE" w:rsidRPr="00DE5E9C" w:rsidRDefault="00E43AAE" w:rsidP="00DE5E9C">
      <w:pPr>
        <w:pStyle w:val="Capoverso"/>
        <w:spacing w:before="260" w:after="260"/>
        <w:jc w:val="center"/>
      </w:pPr>
      <w:r>
        <w:t>***</w:t>
      </w:r>
    </w:p>
    <w:p w:rsidR="00E43AAE" w:rsidRPr="002F3A6E" w:rsidRDefault="00E43AAE" w:rsidP="00DE5E9C">
      <w:pPr>
        <w:pStyle w:val="Paragrafo"/>
      </w:pPr>
      <w:r w:rsidRPr="002F3A6E">
        <w:t>Disposizioni in materia di sicurezza per gli esercenti le professioni sanitarie e socio-sanitarie nell</w:t>
      </w:r>
      <w:r w:rsidR="0072278C">
        <w:t>’</w:t>
      </w:r>
      <w:r w:rsidR="00556884">
        <w:t>esercizio delle loro funzioni</w:t>
      </w:r>
    </w:p>
    <w:p w:rsidR="00E43AAE" w:rsidRDefault="00E43AAE" w:rsidP="00556884">
      <w:pPr>
        <w:pStyle w:val="Suddivisionetitolata"/>
      </w:pPr>
      <w:r>
        <w:t>(</w:t>
      </w:r>
      <w:r w:rsidRPr="000D35CA">
        <w:t>L. 14 agosto 2020, n. 113</w:t>
      </w:r>
      <w:r>
        <w:t>)</w:t>
      </w:r>
    </w:p>
    <w:p w:rsidR="0072278C" w:rsidRDefault="00E43AAE" w:rsidP="00DE5E9C">
      <w:pPr>
        <w:pStyle w:val="Capoverso"/>
      </w:pPr>
      <w:r w:rsidRPr="00B31B9F">
        <w:t>La l. 14 agosto 2020, n. 113 (</w:t>
      </w:r>
      <w:r w:rsidRPr="000D35CA">
        <w:rPr>
          <w:i/>
        </w:rPr>
        <w:t>G.U.,</w:t>
      </w:r>
      <w:r w:rsidRPr="00B31B9F">
        <w:t xml:space="preserve"> Sr. gen., 9 settembre 2020), entrata in vigore il successivo 24 settembre, è volta a </w:t>
      </w:r>
      <w:r>
        <w:t xml:space="preserve">contrastare i numerosi episodi </w:t>
      </w:r>
      <w:r w:rsidRPr="00B31B9F">
        <w:t xml:space="preserve">di violenza a danno di operatori sanitari e non solo. </w:t>
      </w:r>
      <w:r>
        <w:t>Il raggio di operatività soggettivo, disciplinato nell</w:t>
      </w:r>
      <w:r w:rsidR="0072278C">
        <w:t>’</w:t>
      </w:r>
      <w:r>
        <w:t xml:space="preserve">art. 1, </w:t>
      </w:r>
      <w:r w:rsidRPr="00B31B9F">
        <w:t>è</w:t>
      </w:r>
      <w:r>
        <w:t xml:space="preserve"> molto vasto e risponde ad una logica di repressione di gravi episodi di violenza ai danni degli esercenti le professioni sanitarie.</w:t>
      </w:r>
      <w:r w:rsidR="0072278C">
        <w:t xml:space="preserve"> </w:t>
      </w:r>
      <w:r>
        <w:t xml:space="preserve">Destinatari delle nuove disposizioni sono: </w:t>
      </w:r>
      <w:r w:rsidRPr="00B31B9F">
        <w:t>medici-chirurghi, odontoiatri, veterinari, infermieri, farmacisti, tecnici sanitari di radiologia medica, professionisti in ambito ost</w:t>
      </w:r>
      <w:r>
        <w:t xml:space="preserve">etrico e riabilitativo; inoltre </w:t>
      </w:r>
      <w:r w:rsidRPr="00B31B9F">
        <w:t>chiropratici, osteopati, chimici, fisici, biologi, psicologi, operatori sociosanitari, assistenti sociali, sociologi e educatori professionali.</w:t>
      </w:r>
      <w:r>
        <w:t xml:space="preserve"> </w:t>
      </w:r>
      <w:r w:rsidRPr="00B31B9F">
        <w:t xml:space="preserve">Infine, </w:t>
      </w:r>
      <w:r>
        <w:t>è prevista l</w:t>
      </w:r>
      <w:r w:rsidR="0072278C">
        <w:t>’</w:t>
      </w:r>
      <w:r>
        <w:t>estensione dell</w:t>
      </w:r>
      <w:r w:rsidR="0072278C">
        <w:t>’</w:t>
      </w:r>
      <w:r>
        <w:t xml:space="preserve">ambito applicativo </w:t>
      </w:r>
      <w:r w:rsidRPr="00703374">
        <w:t>anche a future professioni che il Ministero della Salute riconos</w:t>
      </w:r>
      <w:r>
        <w:t>cerà come sanitarie, per effetto del rinvio all</w:t>
      </w:r>
      <w:r w:rsidR="0072278C">
        <w:t>’</w:t>
      </w:r>
      <w:r>
        <w:t>art. 6, l.</w:t>
      </w:r>
      <w:r w:rsidRPr="00703374">
        <w:t xml:space="preserve"> 11 gennaio 2018, n. 3</w:t>
      </w:r>
      <w:r>
        <w:t>.</w:t>
      </w:r>
    </w:p>
    <w:p w:rsidR="0072278C" w:rsidRDefault="00E43AAE" w:rsidP="00DE5E9C">
      <w:pPr>
        <w:pStyle w:val="Capoverso"/>
      </w:pPr>
      <w:r>
        <w:t>Sul versante penalistico l</w:t>
      </w:r>
      <w:r w:rsidR="0072278C">
        <w:t>’</w:t>
      </w:r>
      <w:r>
        <w:t xml:space="preserve">aspetto di maggiore interesse, per la repressione </w:t>
      </w:r>
      <w:r w:rsidRPr="00B31B9F">
        <w:t>della violenza perpetrata ai danni degli operatori sanitari e soc</w:t>
      </w:r>
      <w:r>
        <w:t>iosanitari, è rappresentato</w:t>
      </w:r>
      <w:r w:rsidRPr="00B31B9F">
        <w:t xml:space="preserve"> </w:t>
      </w:r>
      <w:r>
        <w:t>dalle disposizioni contenute negli artt.</w:t>
      </w:r>
      <w:r w:rsidRPr="00B31B9F">
        <w:t xml:space="preserve"> 4, 5, 6 e 9</w:t>
      </w:r>
      <w:r>
        <w:t>,</w:t>
      </w:r>
      <w:r w:rsidRPr="00B31B9F">
        <w:t xml:space="preserve"> </w:t>
      </w:r>
      <w:r>
        <w:t xml:space="preserve">che ampliano la platea </w:t>
      </w:r>
      <w:r w:rsidRPr="00B31B9F">
        <w:t xml:space="preserve">di soggetti da tutelare </w:t>
      </w:r>
      <w:r>
        <w:t xml:space="preserve">nei casi di </w:t>
      </w:r>
      <w:r w:rsidRPr="00B31B9F">
        <w:t>lesio</w:t>
      </w:r>
      <w:r>
        <w:t>ni personali gravi o gravissime, con un conseguente inasprimento della risposta sanzionatoria.</w:t>
      </w:r>
    </w:p>
    <w:p w:rsidR="0072278C" w:rsidRPr="00942862" w:rsidRDefault="00E43AAE" w:rsidP="00DE5E9C">
      <w:pPr>
        <w:pStyle w:val="Capoverso"/>
        <w:rPr>
          <w:spacing w:val="-2"/>
        </w:rPr>
      </w:pPr>
      <w:r w:rsidRPr="00942862">
        <w:rPr>
          <w:spacing w:val="-2"/>
        </w:rPr>
        <w:t>L</w:t>
      </w:r>
      <w:r w:rsidR="0072278C" w:rsidRPr="00942862">
        <w:rPr>
          <w:spacing w:val="-2"/>
        </w:rPr>
        <w:t>’</w:t>
      </w:r>
      <w:r w:rsidRPr="00942862">
        <w:rPr>
          <w:spacing w:val="-2"/>
        </w:rPr>
        <w:t>articolo 583-</w:t>
      </w:r>
      <w:r w:rsidRPr="00942862">
        <w:rPr>
          <w:i/>
          <w:spacing w:val="-2"/>
        </w:rPr>
        <w:t xml:space="preserve">quater </w:t>
      </w:r>
      <w:r w:rsidRPr="00942862">
        <w:rPr>
          <w:spacing w:val="-2"/>
        </w:rPr>
        <w:t xml:space="preserve">c.p. viene ampliato e rubricato nel seguente modo: </w:t>
      </w:r>
      <w:r w:rsidRPr="00942862">
        <w:rPr>
          <w:i/>
          <w:spacing w:val="-2"/>
        </w:rPr>
        <w:t>Lesioni personali gravi o gravissime a un pubblico ufficiale in servizio di ordine pubblico in occasione di manifestazioni sportive, nonché a personale esercente una professione sanitaria o socio-sanitaria e a chiunque svolga attività ausiliarie ad essa funzionali.</w:t>
      </w:r>
    </w:p>
    <w:p w:rsidR="00E43AAE" w:rsidRPr="00A51EC4" w:rsidRDefault="00E43AAE" w:rsidP="00DE5E9C">
      <w:pPr>
        <w:pStyle w:val="Capoverso"/>
      </w:pPr>
      <w:r>
        <w:t>In esso si prevede che, n</w:t>
      </w:r>
      <w:r w:rsidRPr="00A51EC4">
        <w:t>ell</w:t>
      </w:r>
      <w:r w:rsidR="0072278C">
        <w:t>’</w:t>
      </w:r>
      <w:r w:rsidRPr="00A51EC4">
        <w:t>ipotesi di lesioni personali gravi o gravissime cagionate a</w:t>
      </w:r>
      <w:r>
        <w:t>i danni di</w:t>
      </w:r>
      <w:r w:rsidRPr="00A51EC4">
        <w:t xml:space="preserve"> personale esercente una professione sanitaria o socio-sanitaria nell</w:t>
      </w:r>
      <w:r w:rsidR="0072278C">
        <w:t>’</w:t>
      </w:r>
      <w:r w:rsidRPr="00A51EC4">
        <w:t>esercizio o a causa delle funzioni o de</w:t>
      </w:r>
      <w:r>
        <w:t xml:space="preserve">l servizio, nonché nei confronti di </w:t>
      </w:r>
      <w:r w:rsidRPr="00A51EC4">
        <w:t>chiunque svolga attività ausiliarie di cura, assistenza sanitaria o soccorso, funzionali allo svolgimento di dette professioni, la pena è della reclusione da quattro a dieci anni per le lesioni gravi; da otto a sedici anni per le lesioni gravissime.</w:t>
      </w:r>
    </w:p>
    <w:p w:rsidR="00E43AAE" w:rsidRPr="00B31B9F" w:rsidRDefault="00E43AAE" w:rsidP="00DE5E9C">
      <w:pPr>
        <w:pStyle w:val="Capoverso"/>
      </w:pPr>
      <w:r>
        <w:lastRenderedPageBreak/>
        <w:t>Si prevede anche una nuova circostanza aggravante, disciplinata nell</w:t>
      </w:r>
      <w:r w:rsidR="0072278C">
        <w:t>’</w:t>
      </w:r>
      <w:r>
        <w:t xml:space="preserve">art. 61, </w:t>
      </w:r>
      <w:r w:rsidRPr="00B31B9F">
        <w:t>c</w:t>
      </w:r>
      <w:r>
        <w:t>omma 11-</w:t>
      </w:r>
      <w:r w:rsidRPr="000D35CA">
        <w:rPr>
          <w:i/>
        </w:rPr>
        <w:t>octies</w:t>
      </w:r>
      <w:r>
        <w:t xml:space="preserve">, c.p.: </w:t>
      </w:r>
      <w:r w:rsidRPr="00B31B9F">
        <w:t>l</w:t>
      </w:r>
      <w:r w:rsidR="0072278C">
        <w:t>’</w:t>
      </w:r>
      <w:r w:rsidRPr="00B31B9F">
        <w:t>avere agito, nei delitti commessi con violenza o minaccia, in danno degli esercenti le professioni sanitarie e socio-sanitarie nonché di chiunque svolga attività ausiliarie di cura, assistenza sanitaria o soccorso, funzionali allo svolgimento di dette professioni, a causa o nell</w:t>
      </w:r>
      <w:r w:rsidR="0072278C">
        <w:t>’</w:t>
      </w:r>
      <w:r w:rsidRPr="00B31B9F">
        <w:t xml:space="preserve">esercizio </w:t>
      </w:r>
      <w:r>
        <w:t>di tali professioni o attività. Nei casi in cui ricorra</w:t>
      </w:r>
      <w:r w:rsidRPr="00F02844">
        <w:t>no le con</w:t>
      </w:r>
      <w:r>
        <w:t>dizioni per l</w:t>
      </w:r>
      <w:r w:rsidR="0072278C">
        <w:t>’</w:t>
      </w:r>
      <w:r>
        <w:t xml:space="preserve">applicazione della nuova circostanza </w:t>
      </w:r>
      <w:r w:rsidRPr="00F02844">
        <w:t>aggravante</w:t>
      </w:r>
      <w:r>
        <w:t>, è prevista la</w:t>
      </w:r>
      <w:r w:rsidRPr="00B31B9F">
        <w:t xml:space="preserve"> procedibilità </w:t>
      </w:r>
      <w:r>
        <w:t>d</w:t>
      </w:r>
      <w:r w:rsidR="0072278C">
        <w:t>’</w:t>
      </w:r>
      <w:r>
        <w:t xml:space="preserve">ufficio per i reati di percosse e lesioni personali dolose, di cui agli </w:t>
      </w:r>
      <w:r w:rsidRPr="00B31B9F">
        <w:t>art</w:t>
      </w:r>
      <w:r>
        <w:t>t</w:t>
      </w:r>
      <w:r w:rsidRPr="00B31B9F">
        <w:t xml:space="preserve">. </w:t>
      </w:r>
      <w:r>
        <w:t xml:space="preserve">581 e 582 c.p. Si tratta di una consistente innovazione, che permette di </w:t>
      </w:r>
      <w:r w:rsidRPr="00B31B9F">
        <w:t xml:space="preserve">perseguire penalmente azioni caratterizzate </w:t>
      </w:r>
      <w:r>
        <w:t xml:space="preserve">da violenza fisica anche lieve </w:t>
      </w:r>
      <w:r w:rsidRPr="00B31B9F">
        <w:t>nei confronti di personale sanitario e socio-sanitario.</w:t>
      </w:r>
    </w:p>
    <w:p w:rsidR="00E43AAE" w:rsidRPr="00B31B9F" w:rsidRDefault="00E43AAE" w:rsidP="00DE5E9C">
      <w:pPr>
        <w:pStyle w:val="Capoverso"/>
      </w:pPr>
      <w:r>
        <w:t>L</w:t>
      </w:r>
      <w:r w:rsidR="0072278C">
        <w:t>’</w:t>
      </w:r>
      <w:r>
        <w:t>aspetto sanzionatorio interessa anche l</w:t>
      </w:r>
      <w:r w:rsidRPr="00B31B9F">
        <w:t>a sf</w:t>
      </w:r>
      <w:r>
        <w:t>era amministrativa, in virtù dell</w:t>
      </w:r>
      <w:r w:rsidR="0072278C">
        <w:t>’</w:t>
      </w:r>
      <w:r>
        <w:t>art. 9 che</w:t>
      </w:r>
      <w:r w:rsidRPr="00B31B9F">
        <w:t xml:space="preserve"> condanna, salvo che il fatto commesso costituisca reato, chiunque tenga condotte violente, ingiuriose, offensive o moleste nei confronti del personale esercente una professi</w:t>
      </w:r>
      <w:r>
        <w:t xml:space="preserve">one sanitaria o socio-sanitaria, </w:t>
      </w:r>
      <w:r w:rsidRPr="00B31B9F">
        <w:t>o</w:t>
      </w:r>
      <w:r>
        <w:t>vvero</w:t>
      </w:r>
      <w:r w:rsidRPr="00B31B9F">
        <w:t xml:space="preserve"> di chiunque svolga attività ausiliarie di cura, assistenza sanitaria o soccorso. La sanzione amministrativa corrisponde ad una somma da euro 500 a euro 5.000.</w:t>
      </w:r>
    </w:p>
    <w:p w:rsidR="0072278C" w:rsidRDefault="00E43AAE" w:rsidP="00DE5E9C">
      <w:pPr>
        <w:pStyle w:val="Capoverso"/>
      </w:pPr>
      <w:r>
        <w:t>Sembra evidente l</w:t>
      </w:r>
      <w:r w:rsidR="0072278C">
        <w:t>’</w:t>
      </w:r>
      <w:r>
        <w:t xml:space="preserve">intento puramente repressivo della legge in commento, che vede un consistente inasprimento </w:t>
      </w:r>
      <w:r w:rsidRPr="00B31B9F">
        <w:t xml:space="preserve">della risposta sanzionatoria, </w:t>
      </w:r>
      <w:r>
        <w:t xml:space="preserve">al quale non corrisponde, però, uguale efficacia preventiva nel potenziamento di strutture </w:t>
      </w:r>
      <w:r w:rsidRPr="00B31B9F">
        <w:t>o</w:t>
      </w:r>
      <w:r>
        <w:t>rganizzative</w:t>
      </w:r>
      <w:r w:rsidRPr="00B31B9F">
        <w:t xml:space="preserve">, </w:t>
      </w:r>
      <w:r>
        <w:t xml:space="preserve">idonee anche ad assicurare un adeguato </w:t>
      </w:r>
      <w:r w:rsidRPr="00B31B9F">
        <w:t>supporto psicolo</w:t>
      </w:r>
      <w:r>
        <w:t>gico per le vittime di violenza.</w:t>
      </w:r>
    </w:p>
    <w:p w:rsidR="00B23A78" w:rsidRPr="00744289" w:rsidRDefault="00E43AAE" w:rsidP="00D03A69">
      <w:pPr>
        <w:pStyle w:val="Capoverso"/>
        <w:rPr>
          <w:rFonts w:eastAsiaTheme="minorHAnsi"/>
        </w:rPr>
      </w:pPr>
      <w:r>
        <w:t>Si prevede solamente che, con</w:t>
      </w:r>
      <w:r w:rsidRPr="00216523">
        <w:t xml:space="preserve"> un successivo decreto attuativo, il Ministero della salute dovrà istituire l</w:t>
      </w:r>
      <w:r w:rsidR="0072278C">
        <w:t>’</w:t>
      </w:r>
      <w:r w:rsidRPr="00216523">
        <w:t>Osservatorio nazionale sulla sicurezza degli esercenti le professioni sanitarie e sociosanitarie, ai sensi dell</w:t>
      </w:r>
      <w:r w:rsidR="0072278C">
        <w:t>’</w:t>
      </w:r>
      <w:r w:rsidRPr="00216523">
        <w:t>art. 2, l. n. 113 del 2020.</w:t>
      </w:r>
    </w:p>
    <w:sectPr w:rsidR="00B23A78" w:rsidRPr="00744289" w:rsidSect="00CF5334">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18" w:right="1134" w:bottom="1134" w:left="1134" w:header="709" w:footer="284" w:gutter="0"/>
      <w:pgNumType w:start="1308"/>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56D3" w:rsidRDefault="00D256D3" w:rsidP="00E43AAE">
      <w:pPr>
        <w:spacing w:after="0" w:line="240" w:lineRule="auto"/>
      </w:pPr>
      <w:r>
        <w:separator/>
      </w:r>
    </w:p>
  </w:endnote>
  <w:endnote w:type="continuationSeparator" w:id="0">
    <w:p w:rsidR="00D256D3" w:rsidRDefault="00D256D3" w:rsidP="00E43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T Std">
    <w:panose1 w:val="00000000000000000000"/>
    <w:charset w:val="00"/>
    <w:family w:val="roman"/>
    <w:notTrueType/>
    <w:pitch w:val="variable"/>
    <w:sig w:usb0="00000003" w:usb1="00000000" w:usb2="00000000" w:usb3="00000000" w:csb0="00000001" w:csb1="00000000"/>
  </w:font>
  <w:font w:name="Friz Quadrata">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PalatinoLTStd-Italic">
    <w:altName w:val="Palatino Linotype"/>
    <w:panose1 w:val="020405020505050A0304"/>
    <w:charset w:val="00"/>
    <w:family w:val="auto"/>
    <w:notTrueType/>
    <w:pitch w:val="default"/>
    <w:sig w:usb0="00000003" w:usb1="00000000" w:usb2="00000000" w:usb3="00000000" w:csb0="00000001" w:csb1="00000000"/>
  </w:font>
  <w:font w:name="Univers LT Std 45 Light">
    <w:panose1 w:val="00000000000000000000"/>
    <w:charset w:val="00"/>
    <w:family w:val="swiss"/>
    <w:notTrueType/>
    <w:pitch w:val="variable"/>
    <w:sig w:usb0="00000003" w:usb1="00000000" w:usb2="00000000" w:usb3="00000000" w:csb0="00000001" w:csb1="00000000"/>
  </w:font>
  <w:font w:name="Univers LT Std 47 Cn Lt">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Univers LT Std 57 C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1520" w:rsidRPr="005D2258" w:rsidRDefault="00451520" w:rsidP="00D256CA">
    <w:pPr>
      <w:pStyle w:val="Pidipagina"/>
      <w:pBdr>
        <w:top w:val="single" w:sz="4" w:space="1" w:color="808080"/>
      </w:pBdr>
      <w:rPr>
        <w:color w:val="3333CC"/>
        <w:sz w:val="16"/>
        <w:szCs w:val="16"/>
      </w:rPr>
    </w:pPr>
  </w:p>
  <w:p w:rsidR="00451520" w:rsidRDefault="00556884" w:rsidP="00D256CA">
    <w:pPr>
      <w:pStyle w:val="Pidipagina"/>
      <w:pBdr>
        <w:top w:val="single" w:sz="4" w:space="1" w:color="808080"/>
      </w:pBdr>
      <w:rPr>
        <w:rFonts w:ascii="Univers LT Std 57 Cn" w:hAnsi="Univers LT Std 57 Cn"/>
        <w:b/>
        <w:color w:val="3333CC"/>
        <w:sz w:val="18"/>
        <w:szCs w:val="18"/>
      </w:rPr>
    </w:pPr>
    <w:r>
      <w:rPr>
        <w:rFonts w:ascii="Univers LT Std 57 Cn" w:hAnsi="Univers LT Std 57 Cn"/>
        <w:color w:val="9966FF"/>
        <w:sz w:val="18"/>
        <w:szCs w:val="18"/>
      </w:rPr>
      <w:t>SCENARI</w:t>
    </w:r>
    <w:r w:rsidR="00451520">
      <w:rPr>
        <w:rFonts w:ascii="Univers LT Std 57 Cn" w:hAnsi="Univers LT Std 57 Cn"/>
        <w:color w:val="9966FF"/>
        <w:sz w:val="18"/>
        <w:szCs w:val="18"/>
      </w:rPr>
      <w:t xml:space="preserve">  </w:t>
    </w:r>
    <w:r w:rsidR="00451520" w:rsidRPr="005D2258">
      <w:rPr>
        <w:rFonts w:ascii="Univers LT Std 57 Cn" w:hAnsi="Univers LT Std 57 Cn"/>
        <w:color w:val="808080"/>
        <w:sz w:val="18"/>
        <w:szCs w:val="18"/>
      </w:rPr>
      <w:t xml:space="preserve">|  </w:t>
    </w:r>
    <w:r>
      <w:rPr>
        <w:rFonts w:ascii="Univers LT Std 57 Cn" w:hAnsi="Univers LT Std 57 Cn"/>
        <w:b/>
        <w:color w:val="3333CC"/>
        <w:sz w:val="18"/>
        <w:szCs w:val="18"/>
      </w:rPr>
      <w:t>NOVIT</w:t>
    </w:r>
    <w:r w:rsidRPr="00556884">
      <w:rPr>
        <w:rFonts w:ascii="Univers LT Std 57 Cn" w:hAnsi="Univers LT Std 57 Cn"/>
        <w:b/>
        <w:caps/>
        <w:color w:val="3333CC"/>
        <w:sz w:val="18"/>
        <w:szCs w:val="18"/>
      </w:rPr>
      <w:t>à</w:t>
    </w:r>
    <w:r>
      <w:rPr>
        <w:rFonts w:ascii="Univers LT Std 57 Cn" w:hAnsi="Univers LT Std 57 Cn"/>
        <w:b/>
        <w:color w:val="3333CC"/>
        <w:sz w:val="18"/>
        <w:szCs w:val="18"/>
      </w:rPr>
      <w:t xml:space="preserve"> LEGISLATIVE INTERNE</w:t>
    </w:r>
  </w:p>
  <w:p w:rsidR="00451520" w:rsidRDefault="0045152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1520" w:rsidRPr="005D2258" w:rsidRDefault="00451520" w:rsidP="00DE5E9C">
    <w:pPr>
      <w:pStyle w:val="Pidipagina"/>
      <w:pBdr>
        <w:top w:val="single" w:sz="4" w:space="1" w:color="808080"/>
      </w:pBdr>
      <w:rPr>
        <w:color w:val="3333CC"/>
        <w:sz w:val="16"/>
        <w:szCs w:val="16"/>
      </w:rPr>
    </w:pPr>
  </w:p>
  <w:p w:rsidR="00451520" w:rsidRDefault="00556884" w:rsidP="00DE5E9C">
    <w:pPr>
      <w:pStyle w:val="Pidipagina"/>
      <w:pBdr>
        <w:top w:val="single" w:sz="4" w:space="1" w:color="808080"/>
      </w:pBdr>
      <w:rPr>
        <w:rFonts w:ascii="Univers LT Std 57 Cn" w:hAnsi="Univers LT Std 57 Cn"/>
        <w:b/>
        <w:color w:val="3333CC"/>
        <w:sz w:val="18"/>
        <w:szCs w:val="18"/>
      </w:rPr>
    </w:pPr>
    <w:r>
      <w:rPr>
        <w:rFonts w:ascii="Univers LT Std 57 Cn" w:hAnsi="Univers LT Std 57 Cn"/>
        <w:color w:val="9966FF"/>
        <w:sz w:val="18"/>
        <w:szCs w:val="18"/>
      </w:rPr>
      <w:t>SCENARI</w:t>
    </w:r>
    <w:r w:rsidR="00451520">
      <w:rPr>
        <w:rFonts w:ascii="Univers LT Std 57 Cn" w:hAnsi="Univers LT Std 57 Cn"/>
        <w:color w:val="9966FF"/>
        <w:sz w:val="18"/>
        <w:szCs w:val="18"/>
      </w:rPr>
      <w:t xml:space="preserve">  </w:t>
    </w:r>
    <w:r w:rsidR="00451520" w:rsidRPr="005D2258">
      <w:rPr>
        <w:rFonts w:ascii="Univers LT Std 57 Cn" w:hAnsi="Univers LT Std 57 Cn"/>
        <w:color w:val="808080"/>
        <w:sz w:val="18"/>
        <w:szCs w:val="18"/>
      </w:rPr>
      <w:t xml:space="preserve">|  </w:t>
    </w:r>
    <w:r>
      <w:rPr>
        <w:rFonts w:ascii="Univers LT Std 57 Cn" w:hAnsi="Univers LT Std 57 Cn"/>
        <w:b/>
        <w:color w:val="3333CC"/>
        <w:sz w:val="18"/>
        <w:szCs w:val="18"/>
      </w:rPr>
      <w:t>NOVIT</w:t>
    </w:r>
    <w:r w:rsidRPr="00556884">
      <w:rPr>
        <w:rFonts w:ascii="Univers LT Std 57 Cn" w:hAnsi="Univers LT Std 57 Cn"/>
        <w:b/>
        <w:caps/>
        <w:color w:val="3333CC"/>
        <w:sz w:val="18"/>
        <w:szCs w:val="18"/>
      </w:rPr>
      <w:t>à</w:t>
    </w:r>
    <w:r>
      <w:rPr>
        <w:rFonts w:ascii="Univers LT Std 57 Cn" w:hAnsi="Univers LT Std 57 Cn"/>
        <w:b/>
        <w:color w:val="3333CC"/>
        <w:sz w:val="18"/>
        <w:szCs w:val="18"/>
      </w:rPr>
      <w:t xml:space="preserve"> LEGISLATIVE INTERNE</w:t>
    </w:r>
  </w:p>
  <w:p w:rsidR="00451520" w:rsidRDefault="00451520">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1520" w:rsidRPr="005D2258" w:rsidRDefault="00451520" w:rsidP="00CD5F2A">
    <w:pPr>
      <w:pStyle w:val="Pidipagina"/>
      <w:pBdr>
        <w:top w:val="single" w:sz="4" w:space="1" w:color="808080"/>
      </w:pBdr>
      <w:rPr>
        <w:color w:val="3333CC"/>
        <w:sz w:val="16"/>
        <w:szCs w:val="16"/>
      </w:rPr>
    </w:pPr>
  </w:p>
  <w:p w:rsidR="00451520" w:rsidRDefault="00451520" w:rsidP="00CD5F2A">
    <w:pPr>
      <w:pStyle w:val="Pidipagina"/>
      <w:pBdr>
        <w:top w:val="single" w:sz="4" w:space="1" w:color="808080"/>
      </w:pBdr>
      <w:rPr>
        <w:rFonts w:ascii="Univers LT Std 57 Cn" w:hAnsi="Univers LT Std 57 Cn"/>
        <w:b/>
        <w:color w:val="3333CC"/>
        <w:sz w:val="18"/>
        <w:szCs w:val="18"/>
      </w:rPr>
    </w:pPr>
    <w:r>
      <w:rPr>
        <w:rFonts w:ascii="Univers LT Std 57 Cn" w:hAnsi="Univers LT Std 57 Cn"/>
        <w:color w:val="9966FF"/>
        <w:sz w:val="18"/>
        <w:szCs w:val="18"/>
      </w:rPr>
      <w:t xml:space="preserve">SEZIONE  </w:t>
    </w:r>
    <w:r w:rsidRPr="005D2258">
      <w:rPr>
        <w:rFonts w:ascii="Univers LT Std 57 Cn" w:hAnsi="Univers LT Std 57 Cn"/>
        <w:color w:val="808080"/>
        <w:sz w:val="18"/>
        <w:szCs w:val="18"/>
      </w:rPr>
      <w:t xml:space="preserve">|  </w:t>
    </w:r>
    <w:r>
      <w:rPr>
        <w:rFonts w:ascii="Univers LT Std 57 Cn" w:hAnsi="Univers LT Std 57 Cn"/>
        <w:b/>
        <w:color w:val="3333CC"/>
        <w:sz w:val="18"/>
        <w:szCs w:val="18"/>
      </w:rPr>
      <w:t>TITOLO</w:t>
    </w:r>
  </w:p>
  <w:p w:rsidR="00451520" w:rsidRDefault="0045152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tbl>
      <w:tblPr>
        <w:tblW w:w="0" w:type="auto"/>
        <w:tblBorders>
          <w:bottom w:val="single" w:sz="4" w:space="0" w:color="3333FF"/>
        </w:tblBorders>
        <w:tblLayout w:type="fixed"/>
        <w:tblCellMar>
          <w:left w:w="0" w:type="dxa"/>
          <w:right w:w="0" w:type="dxa"/>
        </w:tblCellMar>
        <w:tblLook w:val="0000" w:firstRow="0" w:lastRow="0" w:firstColumn="0" w:lastColumn="0" w:noHBand="0" w:noVBand="0"/>
      </w:tblPr>
      <w:tblGrid>
        <w:gridCol w:w="1701"/>
      </w:tblGrid>
      <w:tr w:rsidR="00D256D3" w:rsidRPr="00B90462" w:rsidTr="00451520">
        <w:tc>
          <w:tcPr>
            <w:tcW w:w="1701" w:type="dxa"/>
          </w:tcPr>
          <w:p w:rsidR="00D256D3" w:rsidRPr="00B90462" w:rsidRDefault="00D256D3" w:rsidP="003941EC">
            <w:pPr>
              <w:spacing w:after="0" w:line="240" w:lineRule="exact"/>
              <w:rPr>
                <w:rFonts w:ascii="Garamond" w:hAnsi="Garamond"/>
                <w:color w:val="3333FF"/>
                <w:sz w:val="16"/>
              </w:rPr>
            </w:pPr>
          </w:p>
        </w:tc>
      </w:tr>
    </w:tbl>
    <w:p w:rsidR="00D256D3" w:rsidRPr="003941EC" w:rsidRDefault="00D256D3" w:rsidP="003941EC">
      <w:pPr>
        <w:pStyle w:val="Pidipagina"/>
        <w:rPr>
          <w:sz w:val="10"/>
          <w:szCs w:val="10"/>
        </w:rPr>
      </w:pPr>
    </w:p>
  </w:footnote>
  <w:footnote w:type="continuationSeparator" w:id="0">
    <w:tbl>
      <w:tblPr>
        <w:tblW w:w="0" w:type="auto"/>
        <w:tblBorders>
          <w:bottom w:val="single" w:sz="4" w:space="0" w:color="3333FF"/>
        </w:tblBorders>
        <w:tblLayout w:type="fixed"/>
        <w:tblCellMar>
          <w:left w:w="0" w:type="dxa"/>
          <w:right w:w="0" w:type="dxa"/>
        </w:tblCellMar>
        <w:tblLook w:val="0000" w:firstRow="0" w:lastRow="0" w:firstColumn="0" w:lastColumn="0" w:noHBand="0" w:noVBand="0"/>
      </w:tblPr>
      <w:tblGrid>
        <w:gridCol w:w="1701"/>
      </w:tblGrid>
      <w:tr w:rsidR="00D256D3" w:rsidRPr="00B90462" w:rsidTr="00451520">
        <w:tc>
          <w:tcPr>
            <w:tcW w:w="1701" w:type="dxa"/>
          </w:tcPr>
          <w:p w:rsidR="00D256D3" w:rsidRPr="00B90462" w:rsidRDefault="00D256D3" w:rsidP="003941EC">
            <w:pPr>
              <w:spacing w:after="0" w:line="240" w:lineRule="exact"/>
              <w:rPr>
                <w:rFonts w:ascii="Garamond" w:hAnsi="Garamond"/>
                <w:color w:val="3333FF"/>
                <w:sz w:val="16"/>
              </w:rPr>
            </w:pPr>
          </w:p>
        </w:tc>
      </w:tr>
    </w:tbl>
    <w:p w:rsidR="00D256D3" w:rsidRPr="003941EC" w:rsidRDefault="00D256D3" w:rsidP="003941EC">
      <w:pPr>
        <w:pStyle w:val="Pidipagina"/>
        <w:rPr>
          <w:sz w:val="10"/>
        </w:rPr>
      </w:pPr>
    </w:p>
  </w:footnote>
  <w:footnote w:type="continuationNotice" w:id="1">
    <w:p w:rsidR="00D256D3" w:rsidRPr="003941EC" w:rsidRDefault="00D256D3">
      <w:pPr>
        <w:spacing w:after="0" w:line="240" w:lineRule="auto"/>
        <w:rPr>
          <w:sz w:val="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6884" w:rsidRDefault="00556884" w:rsidP="00556884">
    <w:pPr>
      <w:pStyle w:val="Intestazione"/>
      <w:tabs>
        <w:tab w:val="clear" w:pos="4819"/>
        <w:tab w:val="clear" w:pos="9638"/>
        <w:tab w:val="right" w:pos="0"/>
      </w:tabs>
      <w:jc w:val="right"/>
    </w:pPr>
    <w:r w:rsidRPr="005D2258">
      <w:rPr>
        <w:rFonts w:ascii="Univers LT Std 57 Cn" w:hAnsi="Univers LT Std 57 Cn"/>
        <w:color w:val="3333FF"/>
        <w:sz w:val="16"/>
        <w:szCs w:val="16"/>
      </w:rPr>
      <w:t xml:space="preserve">Processo penale e giustizia n. </w:t>
    </w:r>
    <w:r>
      <w:rPr>
        <w:rFonts w:ascii="Univers LT Std 57 Cn" w:hAnsi="Univers LT Std 57 Cn"/>
        <w:color w:val="3333FF"/>
        <w:sz w:val="16"/>
        <w:szCs w:val="16"/>
      </w:rPr>
      <w:t>6 | 2020</w:t>
    </w:r>
    <w:r w:rsidRPr="005D2258">
      <w:rPr>
        <w:rFonts w:ascii="Univers LT Std 57 Cn" w:hAnsi="Univers LT Std 57 Cn"/>
        <w:color w:val="3333FF"/>
        <w:sz w:val="17"/>
        <w:szCs w:val="17"/>
      </w:rPr>
      <w:t xml:space="preserve"> </w:t>
    </w:r>
    <w:r>
      <w:tab/>
    </w:r>
    <w:r w:rsidRPr="005D2258">
      <w:rPr>
        <w:rFonts w:ascii="Univers LT Std 57 Cn" w:hAnsi="Univers LT Std 57 Cn"/>
        <w:b/>
        <w:noProof/>
        <w:color w:val="6600CC"/>
        <w:sz w:val="30"/>
        <w:szCs w:val="30"/>
      </w:rPr>
      <w:fldChar w:fldCharType="begin"/>
    </w:r>
    <w:r w:rsidRPr="005D2258">
      <w:rPr>
        <w:rFonts w:ascii="Univers LT Std 57 Cn" w:hAnsi="Univers LT Std 57 Cn"/>
        <w:b/>
        <w:noProof/>
        <w:color w:val="6600CC"/>
        <w:sz w:val="30"/>
        <w:szCs w:val="30"/>
      </w:rPr>
      <w:instrText>PAGE   \* MERGEFORMAT</w:instrText>
    </w:r>
    <w:r w:rsidRPr="005D2258">
      <w:rPr>
        <w:rFonts w:ascii="Univers LT Std 57 Cn" w:hAnsi="Univers LT Std 57 Cn"/>
        <w:b/>
        <w:noProof/>
        <w:color w:val="6600CC"/>
        <w:sz w:val="30"/>
        <w:szCs w:val="30"/>
      </w:rPr>
      <w:fldChar w:fldCharType="separate"/>
    </w:r>
    <w:r w:rsidR="00A917DE">
      <w:rPr>
        <w:rFonts w:ascii="Univers LT Std 57 Cn" w:hAnsi="Univers LT Std 57 Cn"/>
        <w:b/>
        <w:noProof/>
        <w:color w:val="6600CC"/>
        <w:sz w:val="30"/>
        <w:szCs w:val="30"/>
      </w:rPr>
      <w:t>1310</w:t>
    </w:r>
    <w:r w:rsidRPr="005D2258">
      <w:rPr>
        <w:rFonts w:ascii="Univers LT Std 57 Cn" w:hAnsi="Univers LT Std 57 Cn"/>
        <w:b/>
        <w:noProof/>
        <w:color w:val="6600CC"/>
        <w:sz w:val="30"/>
        <w:szCs w:val="3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6884" w:rsidRDefault="00556884" w:rsidP="00556884">
    <w:pPr>
      <w:pStyle w:val="Intestazione"/>
      <w:tabs>
        <w:tab w:val="clear" w:pos="4819"/>
        <w:tab w:val="clear" w:pos="9638"/>
        <w:tab w:val="right" w:pos="0"/>
      </w:tabs>
      <w:jc w:val="right"/>
    </w:pPr>
    <w:r w:rsidRPr="005D2258">
      <w:rPr>
        <w:rFonts w:ascii="Univers LT Std 57 Cn" w:hAnsi="Univers LT Std 57 Cn"/>
        <w:color w:val="3333FF"/>
        <w:sz w:val="16"/>
        <w:szCs w:val="16"/>
      </w:rPr>
      <w:t xml:space="preserve">Processo penale e giustizia n. </w:t>
    </w:r>
    <w:r>
      <w:rPr>
        <w:rFonts w:ascii="Univers LT Std 57 Cn" w:hAnsi="Univers LT Std 57 Cn"/>
        <w:color w:val="3333FF"/>
        <w:sz w:val="16"/>
        <w:szCs w:val="16"/>
      </w:rPr>
      <w:t>6 | 2020</w:t>
    </w:r>
    <w:r w:rsidRPr="005D2258">
      <w:rPr>
        <w:rFonts w:ascii="Univers LT Std 57 Cn" w:hAnsi="Univers LT Std 57 Cn"/>
        <w:color w:val="3333FF"/>
        <w:sz w:val="17"/>
        <w:szCs w:val="17"/>
      </w:rPr>
      <w:t xml:space="preserve"> </w:t>
    </w:r>
    <w:r>
      <w:tab/>
    </w:r>
    <w:r w:rsidRPr="005D2258">
      <w:rPr>
        <w:rFonts w:ascii="Univers LT Std 57 Cn" w:hAnsi="Univers LT Std 57 Cn"/>
        <w:b/>
        <w:noProof/>
        <w:color w:val="6600CC"/>
        <w:sz w:val="30"/>
        <w:szCs w:val="30"/>
      </w:rPr>
      <w:fldChar w:fldCharType="begin"/>
    </w:r>
    <w:r w:rsidRPr="005D2258">
      <w:rPr>
        <w:rFonts w:ascii="Univers LT Std 57 Cn" w:hAnsi="Univers LT Std 57 Cn"/>
        <w:b/>
        <w:noProof/>
        <w:color w:val="6600CC"/>
        <w:sz w:val="30"/>
        <w:szCs w:val="30"/>
      </w:rPr>
      <w:instrText>PAGE   \* MERGEFORMAT</w:instrText>
    </w:r>
    <w:r w:rsidRPr="005D2258">
      <w:rPr>
        <w:rFonts w:ascii="Univers LT Std 57 Cn" w:hAnsi="Univers LT Std 57 Cn"/>
        <w:b/>
        <w:noProof/>
        <w:color w:val="6600CC"/>
        <w:sz w:val="30"/>
        <w:szCs w:val="30"/>
      </w:rPr>
      <w:fldChar w:fldCharType="separate"/>
    </w:r>
    <w:r w:rsidR="00A917DE">
      <w:rPr>
        <w:rFonts w:ascii="Univers LT Std 57 Cn" w:hAnsi="Univers LT Std 57 Cn"/>
        <w:b/>
        <w:noProof/>
        <w:color w:val="6600CC"/>
        <w:sz w:val="30"/>
        <w:szCs w:val="30"/>
      </w:rPr>
      <w:t>1311</w:t>
    </w:r>
    <w:r w:rsidRPr="005D2258">
      <w:rPr>
        <w:rFonts w:ascii="Univers LT Std 57 Cn" w:hAnsi="Univers LT Std 57 Cn"/>
        <w:b/>
        <w:noProof/>
        <w:color w:val="6600CC"/>
        <w:sz w:val="30"/>
        <w:szCs w:val="3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1520" w:rsidRDefault="00451520" w:rsidP="00CD5F2A">
    <w:pPr>
      <w:pStyle w:val="Intestazione"/>
      <w:tabs>
        <w:tab w:val="clear" w:pos="4819"/>
        <w:tab w:val="clear" w:pos="9638"/>
        <w:tab w:val="right" w:pos="0"/>
      </w:tabs>
      <w:jc w:val="right"/>
    </w:pPr>
    <w:r w:rsidRPr="005D2258">
      <w:rPr>
        <w:rFonts w:ascii="Univers LT Std 57 Cn" w:hAnsi="Univers LT Std 57 Cn"/>
        <w:color w:val="3333FF"/>
        <w:sz w:val="16"/>
        <w:szCs w:val="16"/>
      </w:rPr>
      <w:t xml:space="preserve">Processo penale e giustizia n. </w:t>
    </w:r>
    <w:r>
      <w:rPr>
        <w:rFonts w:ascii="Univers LT Std 57 Cn" w:hAnsi="Univers LT Std 57 Cn"/>
        <w:color w:val="3333FF"/>
        <w:sz w:val="16"/>
        <w:szCs w:val="16"/>
      </w:rPr>
      <w:t>6 | 2020</w:t>
    </w:r>
    <w:r w:rsidRPr="005D2258">
      <w:rPr>
        <w:rFonts w:ascii="Univers LT Std 57 Cn" w:hAnsi="Univers LT Std 57 Cn"/>
        <w:color w:val="3333FF"/>
        <w:sz w:val="17"/>
        <w:szCs w:val="17"/>
      </w:rPr>
      <w:t xml:space="preserve"> </w:t>
    </w:r>
    <w:r>
      <w:tab/>
    </w:r>
    <w:r w:rsidRPr="005D2258">
      <w:rPr>
        <w:rFonts w:ascii="Univers LT Std 57 Cn" w:hAnsi="Univers LT Std 57 Cn"/>
        <w:b/>
        <w:noProof/>
        <w:color w:val="6600CC"/>
        <w:sz w:val="30"/>
        <w:szCs w:val="30"/>
      </w:rPr>
      <w:fldChar w:fldCharType="begin"/>
    </w:r>
    <w:r w:rsidRPr="005D2258">
      <w:rPr>
        <w:rFonts w:ascii="Univers LT Std 57 Cn" w:hAnsi="Univers LT Std 57 Cn"/>
        <w:b/>
        <w:noProof/>
        <w:color w:val="6600CC"/>
        <w:sz w:val="30"/>
        <w:szCs w:val="30"/>
      </w:rPr>
      <w:instrText>PAGE   \* MERGEFORMAT</w:instrText>
    </w:r>
    <w:r w:rsidRPr="005D2258">
      <w:rPr>
        <w:rFonts w:ascii="Univers LT Std 57 Cn" w:hAnsi="Univers LT Std 57 Cn"/>
        <w:b/>
        <w:noProof/>
        <w:color w:val="6600CC"/>
        <w:sz w:val="30"/>
        <w:szCs w:val="30"/>
      </w:rPr>
      <w:fldChar w:fldCharType="separate"/>
    </w:r>
    <w:r w:rsidR="00A917DE">
      <w:rPr>
        <w:rFonts w:ascii="Univers LT Std 57 Cn" w:hAnsi="Univers LT Std 57 Cn"/>
        <w:b/>
        <w:noProof/>
        <w:color w:val="6600CC"/>
        <w:sz w:val="30"/>
        <w:szCs w:val="30"/>
      </w:rPr>
      <w:t>1308</w:t>
    </w:r>
    <w:r w:rsidRPr="005D2258">
      <w:rPr>
        <w:rFonts w:ascii="Univers LT Std 57 Cn" w:hAnsi="Univers LT Std 57 Cn"/>
        <w:b/>
        <w:noProof/>
        <w:color w:val="6600CC"/>
        <w:sz w:val="30"/>
        <w:szCs w:val="3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346831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E40B15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A4E295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E1EAB4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2CA3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E44E31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DA7A3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570963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E8C2B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14273E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1C18065E"/>
    <w:multiLevelType w:val="hybridMultilevel"/>
    <w:tmpl w:val="CA026D54"/>
    <w:lvl w:ilvl="0" w:tplc="3F46C45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9475455"/>
    <w:multiLevelType w:val="multilevel"/>
    <w:tmpl w:val="EE861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544213"/>
    <w:multiLevelType w:val="multilevel"/>
    <w:tmpl w:val="9A1A6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29011B"/>
    <w:multiLevelType w:val="multilevel"/>
    <w:tmpl w:val="168EC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B85902"/>
    <w:multiLevelType w:val="hybridMultilevel"/>
    <w:tmpl w:val="3266F5B0"/>
    <w:lvl w:ilvl="0" w:tplc="B12EC22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BC76957"/>
    <w:multiLevelType w:val="hybridMultilevel"/>
    <w:tmpl w:val="DBBAF150"/>
    <w:lvl w:ilvl="0" w:tplc="B54E10A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0B9011A"/>
    <w:multiLevelType w:val="hybridMultilevel"/>
    <w:tmpl w:val="99E09062"/>
    <w:lvl w:ilvl="0" w:tplc="39A4D666">
      <w:start w:val="1"/>
      <w:numFmt w:val="decimal"/>
      <w:lvlText w:val="%1."/>
      <w:lvlJc w:val="left"/>
      <w:pPr>
        <w:tabs>
          <w:tab w:val="num" w:pos="810"/>
        </w:tabs>
        <w:ind w:left="810" w:hanging="450"/>
      </w:pPr>
      <w:rPr>
        <w:rFonts w:hint="default"/>
        <w:b/>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53BC1580"/>
    <w:multiLevelType w:val="hybridMultilevel"/>
    <w:tmpl w:val="FCF860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53B578D"/>
    <w:multiLevelType w:val="hybridMultilevel"/>
    <w:tmpl w:val="9D68256C"/>
    <w:lvl w:ilvl="0" w:tplc="822A2E9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4FD694B"/>
    <w:multiLevelType w:val="multilevel"/>
    <w:tmpl w:val="3FBA0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B1F38BF"/>
    <w:multiLevelType w:val="hybridMultilevel"/>
    <w:tmpl w:val="713A50A6"/>
    <w:lvl w:ilvl="0" w:tplc="888279DC">
      <w:start w:val="5"/>
      <w:numFmt w:val="decimal"/>
      <w:lvlText w:val="%1."/>
      <w:lvlJc w:val="left"/>
      <w:pPr>
        <w:tabs>
          <w:tab w:val="num" w:pos="825"/>
        </w:tabs>
        <w:ind w:left="825" w:hanging="465"/>
      </w:pPr>
      <w:rPr>
        <w:i w:val="0"/>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15"/>
  </w:num>
  <w:num w:numId="2">
    <w:abstractNumId w:val="13"/>
  </w:num>
  <w:num w:numId="3">
    <w:abstractNumId w:val="10"/>
  </w:num>
  <w:num w:numId="4">
    <w:abstractNumId w:val="9"/>
  </w:num>
  <w:num w:numId="5">
    <w:abstractNumId w:val="9"/>
  </w:num>
  <w:num w:numId="6">
    <w:abstractNumId w:val="21"/>
  </w:num>
  <w:num w:numId="7">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1"/>
  </w:num>
  <w:num w:numId="10">
    <w:abstractNumId w:val="19"/>
  </w:num>
  <w:num w:numId="11">
    <w:abstractNumId w:val="18"/>
  </w:num>
  <w:num w:numId="12">
    <w:abstractNumId w:val="14"/>
  </w:num>
  <w:num w:numId="13">
    <w:abstractNumId w:val="20"/>
  </w:num>
  <w:num w:numId="14">
    <w:abstractNumId w:val="16"/>
  </w:num>
  <w:num w:numId="15">
    <w:abstractNumId w:val="12"/>
  </w:num>
  <w:num w:numId="16">
    <w:abstractNumId w:val="8"/>
  </w:num>
  <w:num w:numId="17">
    <w:abstractNumId w:val="3"/>
  </w:num>
  <w:num w:numId="18">
    <w:abstractNumId w:val="2"/>
  </w:num>
  <w:num w:numId="19">
    <w:abstractNumId w:val="1"/>
  </w:num>
  <w:num w:numId="20">
    <w:abstractNumId w:val="0"/>
  </w:num>
  <w:num w:numId="21">
    <w:abstractNumId w:val="7"/>
  </w:num>
  <w:num w:numId="22">
    <w:abstractNumId w:val="6"/>
  </w:num>
  <w:num w:numId="23">
    <w:abstractNumId w:val="5"/>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mirrorMargin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8"/>
  <w:autoHyphenation/>
  <w:hyphenationZone w:val="283"/>
  <w:evenAndOddHeaders/>
  <w:drawingGridHorizontalSpacing w:val="120"/>
  <w:displayHorizontalDrawingGridEvery w:val="2"/>
  <w:displayVerticalDrawingGridEvery w:val="2"/>
  <w:characterSpacingControl w:val="doNotCompres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736"/>
    <w:rsid w:val="00036EF7"/>
    <w:rsid w:val="000D35CA"/>
    <w:rsid w:val="00180E06"/>
    <w:rsid w:val="001A3DAD"/>
    <w:rsid w:val="001C036E"/>
    <w:rsid w:val="001C22E8"/>
    <w:rsid w:val="002149C2"/>
    <w:rsid w:val="002633F7"/>
    <w:rsid w:val="00267494"/>
    <w:rsid w:val="00270A85"/>
    <w:rsid w:val="00290E8E"/>
    <w:rsid w:val="002F0592"/>
    <w:rsid w:val="0038120E"/>
    <w:rsid w:val="003941EC"/>
    <w:rsid w:val="00451520"/>
    <w:rsid w:val="0045519B"/>
    <w:rsid w:val="00465A11"/>
    <w:rsid w:val="00483370"/>
    <w:rsid w:val="004C4535"/>
    <w:rsid w:val="005544BC"/>
    <w:rsid w:val="00556884"/>
    <w:rsid w:val="005B5FB7"/>
    <w:rsid w:val="005C1D27"/>
    <w:rsid w:val="00650736"/>
    <w:rsid w:val="006B421C"/>
    <w:rsid w:val="006D27AD"/>
    <w:rsid w:val="0072278C"/>
    <w:rsid w:val="00744289"/>
    <w:rsid w:val="007B0D9B"/>
    <w:rsid w:val="00812824"/>
    <w:rsid w:val="00821E07"/>
    <w:rsid w:val="008319AA"/>
    <w:rsid w:val="00893239"/>
    <w:rsid w:val="008B1824"/>
    <w:rsid w:val="008D2AA2"/>
    <w:rsid w:val="00942862"/>
    <w:rsid w:val="009D2829"/>
    <w:rsid w:val="009E2285"/>
    <w:rsid w:val="00A4565B"/>
    <w:rsid w:val="00A64F4F"/>
    <w:rsid w:val="00A663B5"/>
    <w:rsid w:val="00A85F75"/>
    <w:rsid w:val="00A917DE"/>
    <w:rsid w:val="00AB1513"/>
    <w:rsid w:val="00B03AE3"/>
    <w:rsid w:val="00B23A78"/>
    <w:rsid w:val="00B24C38"/>
    <w:rsid w:val="00B50198"/>
    <w:rsid w:val="00B664DC"/>
    <w:rsid w:val="00C01F78"/>
    <w:rsid w:val="00C80D19"/>
    <w:rsid w:val="00CB4EFC"/>
    <w:rsid w:val="00CC40E1"/>
    <w:rsid w:val="00CD5F2A"/>
    <w:rsid w:val="00CF5334"/>
    <w:rsid w:val="00D01CB9"/>
    <w:rsid w:val="00D03A69"/>
    <w:rsid w:val="00D256CA"/>
    <w:rsid w:val="00D256D3"/>
    <w:rsid w:val="00D53AD3"/>
    <w:rsid w:val="00DA61AE"/>
    <w:rsid w:val="00DB1E44"/>
    <w:rsid w:val="00DC30A0"/>
    <w:rsid w:val="00DC71E7"/>
    <w:rsid w:val="00DE5E9C"/>
    <w:rsid w:val="00DF3497"/>
    <w:rsid w:val="00DF7E7E"/>
    <w:rsid w:val="00E41516"/>
    <w:rsid w:val="00E43AAE"/>
    <w:rsid w:val="00E7225E"/>
    <w:rsid w:val="00E75147"/>
    <w:rsid w:val="00EB0FBF"/>
    <w:rsid w:val="00F142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BC167F-9B9B-4694-9177-B28137676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semiHidden="1" w:uiPriority="9" w:qFormat="1"/>
    <w:lsdException w:name="heading 2" w:semiHidden="1" w:uiPriority="0" w:unhideWhenUsed="1" w:qFormat="1"/>
    <w:lsdException w:name="heading 3" w:semiHidden="1" w:uiPriority="9" w:unhideWhenUsed="1" w:qFormat="1"/>
    <w:lsdException w:name="heading 4" w:semiHidden="1" w:uiPriority="9" w:qFormat="1"/>
    <w:lsdException w:name="heading 5" w:semiHidden="1" w:uiPriority="0" w:unhideWhenUsed="1"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semiHidden/>
    <w:qFormat/>
    <w:rsid w:val="00893239"/>
    <w:rPr>
      <w:noProof/>
    </w:rPr>
  </w:style>
  <w:style w:type="paragraph" w:styleId="Titolo2">
    <w:name w:val="heading 2"/>
    <w:basedOn w:val="Normale"/>
    <w:next w:val="Normale"/>
    <w:link w:val="Titolo2Carattere"/>
    <w:semiHidden/>
    <w:qFormat/>
    <w:rsid w:val="00E43AAE"/>
    <w:pPr>
      <w:keepNext/>
      <w:spacing w:before="240" w:after="60" w:line="240" w:lineRule="auto"/>
      <w:outlineLvl w:val="1"/>
    </w:pPr>
    <w:rPr>
      <w:rFonts w:ascii="Arial" w:eastAsia="Times New Roman" w:hAnsi="Arial" w:cs="Arial"/>
      <w:b/>
      <w:bCs/>
      <w:i/>
      <w:iCs/>
      <w:noProof w:val="0"/>
      <w:sz w:val="28"/>
      <w:szCs w:val="28"/>
      <w:lang w:eastAsia="it-IT"/>
    </w:rPr>
  </w:style>
  <w:style w:type="paragraph" w:styleId="Titolo3">
    <w:name w:val="heading 3"/>
    <w:basedOn w:val="Normale"/>
    <w:link w:val="Titolo3Carattere"/>
    <w:uiPriority w:val="9"/>
    <w:semiHidden/>
    <w:qFormat/>
    <w:rsid w:val="00E43AAE"/>
    <w:pPr>
      <w:spacing w:before="100" w:beforeAutospacing="1" w:after="100" w:afterAutospacing="1" w:line="240" w:lineRule="auto"/>
      <w:outlineLvl w:val="2"/>
    </w:pPr>
    <w:rPr>
      <w:rFonts w:ascii="Times New Roman" w:eastAsia="Times New Roman" w:hAnsi="Times New Roman" w:cs="Times New Roman"/>
      <w:b/>
      <w:bCs/>
      <w:noProof w:val="0"/>
      <w:sz w:val="27"/>
      <w:szCs w:val="27"/>
      <w:lang w:val="x-none" w:eastAsia="x-none"/>
    </w:rPr>
  </w:style>
  <w:style w:type="paragraph" w:styleId="Titolo5">
    <w:name w:val="heading 5"/>
    <w:basedOn w:val="Normale"/>
    <w:link w:val="Titolo5Carattere"/>
    <w:semiHidden/>
    <w:qFormat/>
    <w:rsid w:val="00E43AAE"/>
    <w:pPr>
      <w:spacing w:before="100" w:beforeAutospacing="1" w:after="100" w:afterAutospacing="1" w:line="240" w:lineRule="auto"/>
      <w:outlineLvl w:val="4"/>
    </w:pPr>
    <w:rPr>
      <w:rFonts w:ascii="Times New Roman" w:eastAsia="Times New Roman" w:hAnsi="Times New Roman" w:cs="Times New Roman"/>
      <w:b/>
      <w:bCs/>
      <w:noProof w:val="0"/>
      <w:sz w:val="2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semiHidden/>
    <w:rsid w:val="00893239"/>
    <w:rPr>
      <w:rFonts w:ascii="Arial" w:eastAsia="Times New Roman" w:hAnsi="Arial" w:cs="Arial"/>
      <w:b/>
      <w:bCs/>
      <w:i/>
      <w:iCs/>
      <w:sz w:val="28"/>
      <w:szCs w:val="28"/>
      <w:lang w:eastAsia="it-IT"/>
    </w:rPr>
  </w:style>
  <w:style w:type="character" w:customStyle="1" w:styleId="Titolo3Carattere">
    <w:name w:val="Titolo 3 Carattere"/>
    <w:basedOn w:val="Carpredefinitoparagrafo"/>
    <w:link w:val="Titolo3"/>
    <w:uiPriority w:val="9"/>
    <w:semiHidden/>
    <w:rsid w:val="00893239"/>
    <w:rPr>
      <w:rFonts w:ascii="Times New Roman" w:eastAsia="Times New Roman" w:hAnsi="Times New Roman" w:cs="Times New Roman"/>
      <w:b/>
      <w:bCs/>
      <w:sz w:val="27"/>
      <w:szCs w:val="27"/>
      <w:lang w:val="x-none" w:eastAsia="x-none"/>
    </w:rPr>
  </w:style>
  <w:style w:type="character" w:customStyle="1" w:styleId="Titolo5Carattere">
    <w:name w:val="Titolo 5 Carattere"/>
    <w:basedOn w:val="Carpredefinitoparagrafo"/>
    <w:link w:val="Titolo5"/>
    <w:semiHidden/>
    <w:rsid w:val="00893239"/>
    <w:rPr>
      <w:rFonts w:ascii="Times New Roman" w:eastAsia="Times New Roman" w:hAnsi="Times New Roman" w:cs="Times New Roman"/>
      <w:b/>
      <w:bCs/>
      <w:sz w:val="20"/>
      <w:szCs w:val="20"/>
      <w:lang w:val="x-none" w:eastAsia="x-none"/>
    </w:rPr>
  </w:style>
  <w:style w:type="paragraph" w:customStyle="1" w:styleId="Suddivisionetitolata">
    <w:name w:val="Suddivisione titolata"/>
    <w:qFormat/>
    <w:rsid w:val="00DE5E9C"/>
    <w:pPr>
      <w:widowControl w:val="0"/>
      <w:spacing w:before="240" w:after="240" w:line="260" w:lineRule="exact"/>
      <w:jc w:val="both"/>
    </w:pPr>
    <w:rPr>
      <w:rFonts w:ascii="Palatino LT Std" w:eastAsia="Times New Roman" w:hAnsi="Palatino LT Std" w:cs="Times New Roman"/>
      <w:i/>
      <w:sz w:val="21"/>
      <w:lang w:eastAsia="it-IT"/>
    </w:rPr>
  </w:style>
  <w:style w:type="paragraph" w:customStyle="1" w:styleId="Paragrafo">
    <w:name w:val="Paragrafo"/>
    <w:qFormat/>
    <w:rsid w:val="00D256CA"/>
    <w:pPr>
      <w:widowControl w:val="0"/>
      <w:spacing w:before="480" w:after="240" w:line="240" w:lineRule="exact"/>
      <w:ind w:left="284" w:hanging="284"/>
      <w:jc w:val="both"/>
    </w:pPr>
    <w:rPr>
      <w:rFonts w:ascii="Palatino LT Std" w:eastAsia="Times New Roman" w:hAnsi="Palatino LT Std" w:cs="Friz Quadrata"/>
      <w:b/>
      <w:bCs/>
      <w:smallCaps/>
      <w:color w:val="3333CC"/>
      <w:sz w:val="21"/>
      <w:szCs w:val="25"/>
      <w:lang w:eastAsia="it-IT"/>
    </w:rPr>
  </w:style>
  <w:style w:type="paragraph" w:customStyle="1" w:styleId="Filettochiusura">
    <w:name w:val="Filetto chiusura"/>
    <w:qFormat/>
    <w:rsid w:val="00B24C38"/>
    <w:pPr>
      <w:widowControl w:val="0"/>
      <w:pBdr>
        <w:bottom w:val="single" w:sz="12" w:space="1" w:color="3333FF"/>
      </w:pBdr>
      <w:spacing w:after="0" w:line="120" w:lineRule="exact"/>
    </w:pPr>
    <w:rPr>
      <w:rFonts w:ascii="Palatino LT Std" w:eastAsia="Times New Roman" w:hAnsi="Palatino LT Std" w:cs="Times New Roman"/>
      <w:bCs/>
      <w:sz w:val="21"/>
      <w:szCs w:val="24"/>
      <w:lang w:eastAsia="ar-SA"/>
    </w:rPr>
  </w:style>
  <w:style w:type="paragraph" w:styleId="Testonotaapidipagina">
    <w:name w:val="footnote text"/>
    <w:link w:val="TestonotaapidipaginaCarattere"/>
    <w:uiPriority w:val="99"/>
    <w:unhideWhenUsed/>
    <w:rsid w:val="00B664DC"/>
    <w:pPr>
      <w:widowControl w:val="0"/>
      <w:spacing w:before="60" w:after="0" w:line="220" w:lineRule="exact"/>
      <w:ind w:firstLine="284"/>
      <w:jc w:val="both"/>
    </w:pPr>
    <w:rPr>
      <w:rFonts w:ascii="Palatino LT Std" w:hAnsi="Palatino LT Std"/>
      <w:sz w:val="17"/>
      <w:szCs w:val="20"/>
    </w:rPr>
  </w:style>
  <w:style w:type="character" w:customStyle="1" w:styleId="TestonotaapidipaginaCarattere">
    <w:name w:val="Testo nota a piè di pagina Carattere"/>
    <w:basedOn w:val="Carpredefinitoparagrafo"/>
    <w:link w:val="Testonotaapidipagina"/>
    <w:uiPriority w:val="99"/>
    <w:rsid w:val="00B664DC"/>
    <w:rPr>
      <w:rFonts w:ascii="Palatino LT Std" w:hAnsi="Palatino LT Std"/>
      <w:sz w:val="17"/>
      <w:szCs w:val="20"/>
    </w:rPr>
  </w:style>
  <w:style w:type="paragraph" w:styleId="Intestazione">
    <w:name w:val="header"/>
    <w:basedOn w:val="Normale"/>
    <w:link w:val="IntestazioneCarattere"/>
    <w:uiPriority w:val="99"/>
    <w:semiHidden/>
    <w:rsid w:val="00E43AAE"/>
    <w:pPr>
      <w:tabs>
        <w:tab w:val="center" w:pos="4819"/>
        <w:tab w:val="right" w:pos="9638"/>
      </w:tabs>
      <w:spacing w:after="0" w:line="240" w:lineRule="auto"/>
    </w:pPr>
    <w:rPr>
      <w:noProof w:val="0"/>
    </w:rPr>
  </w:style>
  <w:style w:type="character" w:customStyle="1" w:styleId="IntestazioneCarattere">
    <w:name w:val="Intestazione Carattere"/>
    <w:basedOn w:val="Carpredefinitoparagrafo"/>
    <w:link w:val="Intestazione"/>
    <w:uiPriority w:val="99"/>
    <w:semiHidden/>
    <w:rsid w:val="00893239"/>
  </w:style>
  <w:style w:type="paragraph" w:styleId="Pidipagina">
    <w:name w:val="footer"/>
    <w:basedOn w:val="Normale"/>
    <w:link w:val="PidipaginaCarattere"/>
    <w:uiPriority w:val="99"/>
    <w:semiHidden/>
    <w:rsid w:val="00E43AAE"/>
    <w:pPr>
      <w:tabs>
        <w:tab w:val="center" w:pos="4819"/>
        <w:tab w:val="right" w:pos="9638"/>
      </w:tabs>
      <w:spacing w:after="0" w:line="240" w:lineRule="auto"/>
    </w:pPr>
    <w:rPr>
      <w:noProof w:val="0"/>
    </w:rPr>
  </w:style>
  <w:style w:type="character" w:customStyle="1" w:styleId="PidipaginaCarattere">
    <w:name w:val="Piè di pagina Carattere"/>
    <w:basedOn w:val="Carpredefinitoparagrafo"/>
    <w:link w:val="Pidipagina"/>
    <w:uiPriority w:val="99"/>
    <w:semiHidden/>
    <w:rsid w:val="00893239"/>
  </w:style>
  <w:style w:type="paragraph" w:customStyle="1" w:styleId="Capoverso">
    <w:name w:val="Capoverso"/>
    <w:link w:val="CapoversoCarattere2"/>
    <w:qFormat/>
    <w:rsid w:val="00E43AAE"/>
    <w:pPr>
      <w:widowControl w:val="0"/>
      <w:spacing w:after="0" w:line="260" w:lineRule="exact"/>
      <w:ind w:firstLine="284"/>
      <w:jc w:val="both"/>
    </w:pPr>
    <w:rPr>
      <w:rFonts w:ascii="Palatino LT Std" w:eastAsia="Times New Roman" w:hAnsi="Palatino LT Std" w:cs="Times New Roman"/>
      <w:bCs/>
      <w:sz w:val="21"/>
      <w:szCs w:val="24"/>
      <w:lang w:eastAsia="ar-SA"/>
    </w:rPr>
  </w:style>
  <w:style w:type="character" w:customStyle="1" w:styleId="CapoversoCarattere2">
    <w:name w:val="Capoverso Carattere2"/>
    <w:link w:val="Capoverso"/>
    <w:locked/>
    <w:rsid w:val="00E43AAE"/>
    <w:rPr>
      <w:rFonts w:ascii="Palatino LT Std" w:eastAsia="Times New Roman" w:hAnsi="Palatino LT Std" w:cs="Times New Roman"/>
      <w:bCs/>
      <w:sz w:val="21"/>
      <w:szCs w:val="24"/>
      <w:lang w:eastAsia="ar-SA"/>
    </w:rPr>
  </w:style>
  <w:style w:type="paragraph" w:customStyle="1" w:styleId="TitoloScenari">
    <w:name w:val="Titolo Scenari"/>
    <w:qFormat/>
    <w:rsid w:val="00DE5E9C"/>
    <w:pPr>
      <w:widowControl w:val="0"/>
      <w:spacing w:before="780" w:after="120" w:line="480" w:lineRule="exact"/>
      <w:jc w:val="right"/>
    </w:pPr>
    <w:rPr>
      <w:rFonts w:ascii="Palatino LT Std" w:eastAsia="Times New Roman" w:hAnsi="Palatino LT Std" w:cs="Times New Roman"/>
      <w:bCs/>
      <w:caps/>
      <w:color w:val="3333CC"/>
      <w:sz w:val="42"/>
      <w:szCs w:val="46"/>
      <w:lang w:eastAsia="ar-SA"/>
    </w:rPr>
  </w:style>
  <w:style w:type="paragraph" w:customStyle="1" w:styleId="AutoreScenari">
    <w:name w:val="Autore Scenari"/>
    <w:qFormat/>
    <w:rsid w:val="00DE5E9C"/>
    <w:pPr>
      <w:widowControl w:val="0"/>
      <w:spacing w:after="0" w:line="280" w:lineRule="exact"/>
      <w:jc w:val="right"/>
    </w:pPr>
    <w:rPr>
      <w:rFonts w:ascii="Palatino LT Std" w:eastAsia="Times New Roman" w:hAnsi="Palatino LT Std" w:cs="Times New Roman"/>
      <w:bCs/>
      <w:i/>
      <w:sz w:val="24"/>
      <w:szCs w:val="28"/>
      <w:lang w:eastAsia="ar-SA"/>
    </w:rPr>
  </w:style>
  <w:style w:type="paragraph" w:styleId="Titolo">
    <w:name w:val="Title"/>
    <w:basedOn w:val="Normale"/>
    <w:next w:val="Normale"/>
    <w:link w:val="TitoloCarattere"/>
    <w:uiPriority w:val="10"/>
    <w:semiHidden/>
    <w:qFormat/>
    <w:rsid w:val="00E43AAE"/>
    <w:pPr>
      <w:spacing w:after="0" w:line="240" w:lineRule="auto"/>
      <w:contextualSpacing/>
    </w:pPr>
    <w:rPr>
      <w:rFonts w:ascii="Calibri Light" w:eastAsia="Times New Roman" w:hAnsi="Calibri Light" w:cs="Times New Roman"/>
      <w:noProof w:val="0"/>
      <w:spacing w:val="-10"/>
      <w:kern w:val="28"/>
      <w:sz w:val="56"/>
      <w:szCs w:val="56"/>
      <w:lang w:val="x-none" w:eastAsia="x-none"/>
    </w:rPr>
  </w:style>
  <w:style w:type="character" w:customStyle="1" w:styleId="TitoloCarattere">
    <w:name w:val="Titolo Carattere"/>
    <w:basedOn w:val="Carpredefinitoparagrafo"/>
    <w:link w:val="Titolo"/>
    <w:uiPriority w:val="10"/>
    <w:semiHidden/>
    <w:rsid w:val="00893239"/>
    <w:rPr>
      <w:rFonts w:ascii="Calibri Light" w:eastAsia="Times New Roman" w:hAnsi="Calibri Light" w:cs="Times New Roman"/>
      <w:spacing w:val="-10"/>
      <w:kern w:val="28"/>
      <w:sz w:val="56"/>
      <w:szCs w:val="56"/>
      <w:lang w:val="x-none" w:eastAsia="x-none"/>
    </w:rPr>
  </w:style>
  <w:style w:type="paragraph" w:styleId="Revisione">
    <w:name w:val="Revision"/>
    <w:hidden/>
    <w:uiPriority w:val="99"/>
    <w:semiHidden/>
    <w:rsid w:val="00E43AAE"/>
    <w:pPr>
      <w:spacing w:after="0" w:line="240" w:lineRule="auto"/>
    </w:pPr>
    <w:rPr>
      <w:rFonts w:eastAsiaTheme="minorEastAsia"/>
      <w:sz w:val="24"/>
      <w:szCs w:val="24"/>
      <w:lang w:eastAsia="it-IT"/>
    </w:rPr>
  </w:style>
  <w:style w:type="paragraph" w:customStyle="1" w:styleId="a">
    <w:basedOn w:val="Normale"/>
    <w:next w:val="Normale"/>
    <w:rsid w:val="00E43AAE"/>
    <w:pPr>
      <w:spacing w:after="0" w:line="240" w:lineRule="auto"/>
      <w:jc w:val="both"/>
    </w:pPr>
    <w:rPr>
      <w:rFonts w:ascii="Times New Roman" w:eastAsia="Times New Roman" w:hAnsi="Times New Roman" w:cs="Times New Roman"/>
      <w:noProof w:val="0"/>
      <w:sz w:val="24"/>
      <w:szCs w:val="24"/>
      <w:lang w:eastAsia="it-IT"/>
    </w:rPr>
  </w:style>
  <w:style w:type="paragraph" w:customStyle="1" w:styleId="Autore">
    <w:name w:val="Autore"/>
    <w:basedOn w:val="Normale"/>
    <w:qFormat/>
    <w:rsid w:val="00CD5F2A"/>
    <w:pPr>
      <w:spacing w:after="120" w:line="280" w:lineRule="exact"/>
    </w:pPr>
    <w:rPr>
      <w:rFonts w:ascii="Palatino LT Std" w:hAnsi="Palatino LT Std" w:cs="Times New Roman"/>
      <w:bCs/>
      <w:smallCaps/>
      <w:sz w:val="24"/>
      <w:szCs w:val="28"/>
    </w:rPr>
  </w:style>
  <w:style w:type="paragraph" w:customStyle="1" w:styleId="Autore-qualifica">
    <w:name w:val="Autore-qualifica"/>
    <w:qFormat/>
    <w:rsid w:val="00CD5F2A"/>
    <w:pPr>
      <w:widowControl w:val="0"/>
      <w:spacing w:after="480" w:line="260" w:lineRule="exact"/>
    </w:pPr>
    <w:rPr>
      <w:rFonts w:ascii="Palatino LT Std" w:hAnsi="Palatino LT Std" w:cs="PalatinoLTStd-Italic"/>
      <w:i/>
      <w:iCs/>
      <w:sz w:val="21"/>
      <w:szCs w:val="21"/>
    </w:rPr>
  </w:style>
  <w:style w:type="paragraph" w:customStyle="1" w:styleId="Titolodellarticolo">
    <w:name w:val="Titolo dell'articolo"/>
    <w:qFormat/>
    <w:rsid w:val="00CD5F2A"/>
    <w:pPr>
      <w:widowControl w:val="0"/>
      <w:spacing w:after="120" w:line="390" w:lineRule="exact"/>
    </w:pPr>
    <w:rPr>
      <w:rFonts w:ascii="Palatino LT Std" w:hAnsi="Palatino LT Std" w:cs="Times New Roman"/>
      <w:bCs/>
      <w:iCs/>
      <w:color w:val="3333FF"/>
      <w:sz w:val="35"/>
      <w:szCs w:val="28"/>
    </w:rPr>
  </w:style>
  <w:style w:type="paragraph" w:customStyle="1" w:styleId="Titolodellarticoloinglese">
    <w:name w:val="Titolo dell'articolo inglese"/>
    <w:basedOn w:val="Titolodellarticolo"/>
    <w:qFormat/>
    <w:rsid w:val="00CD5F2A"/>
    <w:pPr>
      <w:spacing w:after="780"/>
    </w:pPr>
    <w:rPr>
      <w:i/>
      <w:lang w:val="en-GB"/>
    </w:rPr>
  </w:style>
  <w:style w:type="paragraph" w:customStyle="1" w:styleId="Filettoapertura">
    <w:name w:val="Filetto apertura"/>
    <w:qFormat/>
    <w:rsid w:val="00CD5F2A"/>
    <w:pPr>
      <w:widowControl w:val="0"/>
      <w:pBdr>
        <w:top w:val="single" w:sz="12" w:space="1" w:color="3333FF"/>
      </w:pBdr>
      <w:spacing w:after="0" w:line="120" w:lineRule="exact"/>
    </w:pPr>
    <w:rPr>
      <w:rFonts w:ascii="Palatino LT Std" w:eastAsia="Times New Roman" w:hAnsi="Palatino LT Std" w:cs="Times New Roman"/>
      <w:bCs/>
      <w:sz w:val="21"/>
      <w:szCs w:val="24"/>
      <w:lang w:eastAsia="ar-SA"/>
    </w:rPr>
  </w:style>
  <w:style w:type="paragraph" w:customStyle="1" w:styleId="Abstract">
    <w:name w:val="Abstract"/>
    <w:qFormat/>
    <w:rsid w:val="00483370"/>
    <w:pPr>
      <w:widowControl w:val="0"/>
      <w:spacing w:after="120" w:line="230" w:lineRule="exact"/>
      <w:contextualSpacing/>
      <w:jc w:val="both"/>
    </w:pPr>
    <w:rPr>
      <w:rFonts w:ascii="Univers LT Std 45 Light" w:eastAsia="Times New Roman" w:hAnsi="Univers LT Std 45 Light" w:cs="Times New Roman"/>
      <w:bCs/>
      <w:sz w:val="19"/>
      <w:lang w:eastAsia="ar-SA"/>
    </w:rPr>
  </w:style>
  <w:style w:type="paragraph" w:customStyle="1" w:styleId="Abstractinglese">
    <w:name w:val="Abstract inglese"/>
    <w:basedOn w:val="Abstract"/>
    <w:qFormat/>
    <w:rsid w:val="00D256CA"/>
    <w:pPr>
      <w:spacing w:after="0"/>
    </w:pPr>
    <w:rPr>
      <w:i/>
      <w:lang w:val="en-GB"/>
    </w:rPr>
  </w:style>
  <w:style w:type="paragraph" w:customStyle="1" w:styleId="TitolodellaParte">
    <w:name w:val="Titolo della Parte"/>
    <w:qFormat/>
    <w:rsid w:val="00D256CA"/>
    <w:pPr>
      <w:pBdr>
        <w:top w:val="single" w:sz="12" w:space="4" w:color="6666FF"/>
      </w:pBdr>
      <w:spacing w:after="120" w:line="0" w:lineRule="auto"/>
      <w:ind w:left="1701"/>
    </w:pPr>
    <w:rPr>
      <w:rFonts w:ascii="Palatino LT Std" w:eastAsia="Times New Roman" w:hAnsi="Palatino LT Std" w:cs="Times New Roman"/>
      <w:color w:val="3333CC"/>
      <w:sz w:val="50"/>
      <w:szCs w:val="50"/>
      <w:lang w:eastAsia="ar-SA"/>
    </w:rPr>
  </w:style>
  <w:style w:type="paragraph" w:customStyle="1" w:styleId="Titoloscenariinglese">
    <w:name w:val="Titolo scenari inglese"/>
    <w:basedOn w:val="TitoloScenari"/>
    <w:qFormat/>
    <w:rsid w:val="00DE5E9C"/>
    <w:pPr>
      <w:spacing w:before="0"/>
    </w:pPr>
    <w:rPr>
      <w:i/>
      <w:lang w:val="en-GB"/>
    </w:rPr>
  </w:style>
  <w:style w:type="paragraph" w:customStyle="1" w:styleId="Dicituraeditoriale">
    <w:name w:val="Dicitura editoriale"/>
    <w:basedOn w:val="Capoverso"/>
    <w:qFormat/>
    <w:rsid w:val="000D35CA"/>
    <w:pPr>
      <w:spacing w:before="260" w:after="260" w:line="400" w:lineRule="exact"/>
      <w:jc w:val="right"/>
    </w:pPr>
    <w:rPr>
      <w:rFonts w:ascii="Univers LT Std 47 Cn Lt" w:hAnsi="Univers LT Std 47 Cn Lt"/>
      <w:i/>
      <w:color w:val="3333CC"/>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E49835-501F-46F5-99ED-52B4E6359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4</Pages>
  <Words>1657</Words>
  <Characters>9448</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cioffi</dc:creator>
  <cp:keywords/>
  <dc:description/>
  <cp:lastModifiedBy>Carla Corrias</cp:lastModifiedBy>
  <cp:revision>37</cp:revision>
  <dcterms:created xsi:type="dcterms:W3CDTF">2020-10-28T10:08:00Z</dcterms:created>
  <dcterms:modified xsi:type="dcterms:W3CDTF">2020-11-09T10:52:00Z</dcterms:modified>
</cp:coreProperties>
</file>