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85D791" w14:textId="77777777" w:rsidR="00936915" w:rsidRPr="00EF5168" w:rsidRDefault="00D42B21" w:rsidP="00936915">
      <w:pPr>
        <w:pStyle w:val="MDPI11articletype"/>
      </w:pPr>
      <w:r w:rsidRPr="00EF5168">
        <w:t>Article</w:t>
      </w:r>
    </w:p>
    <w:p w14:paraId="4BAB9870" w14:textId="31EF6BA9" w:rsidR="00D42B21" w:rsidRPr="00EF5168" w:rsidRDefault="008340ED" w:rsidP="00EF5168">
      <w:pPr>
        <w:pStyle w:val="MDPI12title"/>
        <w:rPr>
          <w:strike/>
        </w:rPr>
      </w:pPr>
      <w:r w:rsidRPr="00EF5168">
        <w:t xml:space="preserve">Evaluation of </w:t>
      </w:r>
      <w:r w:rsidR="00B066A1" w:rsidRPr="00EF5168">
        <w:t xml:space="preserve">an </w:t>
      </w:r>
      <w:r w:rsidRPr="00EF5168">
        <w:t>ELIME assay for Hepatitis A Virus detection in drinking and vegetable processing water</w:t>
      </w:r>
    </w:p>
    <w:p w14:paraId="1103D476" w14:textId="281F4AEE" w:rsidR="005214E3" w:rsidRPr="00EF5168" w:rsidRDefault="008C2B20" w:rsidP="00EF5168">
      <w:pPr>
        <w:pStyle w:val="MDPI13authornames"/>
        <w:rPr>
          <w:lang w:val="it-IT"/>
        </w:rPr>
      </w:pPr>
      <w:r w:rsidRPr="00EF5168">
        <w:rPr>
          <w:lang w:val="it-IT"/>
        </w:rPr>
        <w:t>Cristine D’Agostino</w:t>
      </w:r>
      <w:r w:rsidRPr="00EF5168">
        <w:rPr>
          <w:vertAlign w:val="superscript"/>
          <w:lang w:val="it-IT"/>
        </w:rPr>
        <w:t>1,2</w:t>
      </w:r>
      <w:r w:rsidRPr="00EF5168">
        <w:rPr>
          <w:lang w:val="it-IT"/>
        </w:rPr>
        <w:t>, Rocco Cancelliere</w:t>
      </w:r>
      <w:r w:rsidRPr="00EF5168">
        <w:rPr>
          <w:vertAlign w:val="superscript"/>
          <w:lang w:val="it-IT"/>
        </w:rPr>
        <w:t>1</w:t>
      </w:r>
      <w:r w:rsidRPr="00EF5168">
        <w:rPr>
          <w:lang w:val="it-IT"/>
        </w:rPr>
        <w:t xml:space="preserve">, </w:t>
      </w:r>
      <w:r w:rsidR="002007F4" w:rsidRPr="00EF5168">
        <w:rPr>
          <w:lang w:val="it-IT"/>
        </w:rPr>
        <w:t>Antonio Ceccarelli</w:t>
      </w:r>
      <w:r w:rsidR="002007F4" w:rsidRPr="00EF5168">
        <w:rPr>
          <w:vertAlign w:val="superscript"/>
          <w:lang w:val="it-IT"/>
        </w:rPr>
        <w:t>1</w:t>
      </w:r>
      <w:r w:rsidR="008B176D" w:rsidRPr="00EF5168">
        <w:rPr>
          <w:vertAlign w:val="superscript"/>
          <w:lang w:val="it-IT"/>
        </w:rPr>
        <w:t>,</w:t>
      </w:r>
      <w:r w:rsidR="00166D7E" w:rsidRPr="00EF5168">
        <w:rPr>
          <w:vertAlign w:val="superscript"/>
          <w:lang w:val="it-IT"/>
        </w:rPr>
        <w:t>3</w:t>
      </w:r>
      <w:r w:rsidR="002007F4" w:rsidRPr="00EF5168">
        <w:rPr>
          <w:lang w:val="it-IT"/>
        </w:rPr>
        <w:t xml:space="preserve">, </w:t>
      </w:r>
      <w:r w:rsidRPr="00EF5168">
        <w:rPr>
          <w:lang w:val="it-IT"/>
        </w:rPr>
        <w:t>Danila Moscone</w:t>
      </w:r>
      <w:r w:rsidRPr="00EF5168">
        <w:rPr>
          <w:vertAlign w:val="superscript"/>
          <w:lang w:val="it-IT"/>
        </w:rPr>
        <w:t>1</w:t>
      </w:r>
      <w:r w:rsidRPr="00EF5168">
        <w:rPr>
          <w:lang w:val="it-IT"/>
        </w:rPr>
        <w:t>, Loredana Cozzi</w:t>
      </w:r>
      <w:r w:rsidR="00166D7E" w:rsidRPr="00EF5168">
        <w:rPr>
          <w:vertAlign w:val="superscript"/>
          <w:lang w:val="it-IT"/>
        </w:rPr>
        <w:t>4</w:t>
      </w:r>
      <w:r w:rsidRPr="00EF5168">
        <w:rPr>
          <w:lang w:val="it-IT"/>
        </w:rPr>
        <w:t xml:space="preserve">, Giuseppina </w:t>
      </w:r>
      <w:r w:rsidR="008340ED" w:rsidRPr="00EF5168">
        <w:rPr>
          <w:lang w:val="it-IT"/>
        </w:rPr>
        <w:t>La Rosa</w:t>
      </w:r>
      <w:r w:rsidR="001D3A10" w:rsidRPr="00EF5168">
        <w:rPr>
          <w:vertAlign w:val="superscript"/>
          <w:lang w:val="it-IT"/>
        </w:rPr>
        <w:t>5</w:t>
      </w:r>
      <w:r w:rsidRPr="00EF5168">
        <w:rPr>
          <w:lang w:val="it-IT"/>
        </w:rPr>
        <w:t>, Elisabetta Suffredini</w:t>
      </w:r>
      <w:r w:rsidR="001D3A10" w:rsidRPr="00EF5168">
        <w:rPr>
          <w:vertAlign w:val="superscript"/>
          <w:lang w:val="it-IT"/>
        </w:rPr>
        <w:t>4</w:t>
      </w:r>
      <w:r w:rsidR="00EF5168" w:rsidRPr="00EF5168">
        <w:rPr>
          <w:lang w:val="it-IT"/>
        </w:rPr>
        <w:t xml:space="preserve"> and </w:t>
      </w:r>
      <w:r w:rsidRPr="00EF5168">
        <w:rPr>
          <w:lang w:val="it-IT"/>
        </w:rPr>
        <w:t>Laura Micheli</w:t>
      </w:r>
      <w:r w:rsidR="008340ED" w:rsidRPr="00EF5168">
        <w:rPr>
          <w:vertAlign w:val="superscript"/>
          <w:lang w:val="it-IT"/>
        </w:rPr>
        <w:t>1</w:t>
      </w:r>
      <w:r w:rsidR="00936915" w:rsidRPr="00EF5168">
        <w:rPr>
          <w:vertAlign w:val="superscript"/>
          <w:lang w:val="it-IT"/>
        </w:rPr>
        <w:t>,</w:t>
      </w:r>
      <w:r w:rsidR="00936915" w:rsidRPr="00EF5168">
        <w:rPr>
          <w:lang w:val="it-IT"/>
        </w:rPr>
        <w:t>*</w:t>
      </w:r>
    </w:p>
    <w:tbl>
      <w:tblPr>
        <w:tblpPr w:leftFromText="198" w:rightFromText="198" w:vertAnchor="page" w:horzAnchor="margin" w:tblpY="11276"/>
        <w:tblW w:w="2410" w:type="dxa"/>
        <w:tblLayout w:type="fixed"/>
        <w:tblCellMar>
          <w:left w:w="0" w:type="dxa"/>
          <w:right w:w="0" w:type="dxa"/>
        </w:tblCellMar>
        <w:tblLook w:val="04A0" w:firstRow="1" w:lastRow="0" w:firstColumn="1" w:lastColumn="0" w:noHBand="0" w:noVBand="1"/>
      </w:tblPr>
      <w:tblGrid>
        <w:gridCol w:w="2410"/>
      </w:tblGrid>
      <w:tr w:rsidR="005214E3" w:rsidRPr="00EF5168" w14:paraId="46417E16" w14:textId="77777777" w:rsidTr="00D8097C">
        <w:tc>
          <w:tcPr>
            <w:tcW w:w="2410" w:type="dxa"/>
            <w:shd w:val="clear" w:color="auto" w:fill="auto"/>
          </w:tcPr>
          <w:p w14:paraId="5AFA6930" w14:textId="77777777" w:rsidR="005214E3" w:rsidRPr="00EF5168" w:rsidRDefault="005214E3" w:rsidP="00D8097C">
            <w:pPr>
              <w:pStyle w:val="MDPI61Citation"/>
              <w:spacing w:after="120" w:line="240" w:lineRule="exact"/>
            </w:pPr>
            <w:r w:rsidRPr="00EF5168">
              <w:rPr>
                <w:b/>
              </w:rPr>
              <w:t xml:space="preserve">Citation: </w:t>
            </w:r>
            <w:r w:rsidRPr="00EF5168">
              <w:t>To be added by editorial staff during production.</w:t>
            </w:r>
          </w:p>
          <w:p w14:paraId="53A24ABA" w14:textId="77777777" w:rsidR="005214E3" w:rsidRPr="00EF5168" w:rsidRDefault="005214E3" w:rsidP="00D8097C">
            <w:pPr>
              <w:pStyle w:val="MDPI15academiceditor"/>
              <w:spacing w:after="120"/>
            </w:pPr>
            <w:r w:rsidRPr="00EF5168">
              <w:t>Academic Editor: Firstname Lastname</w:t>
            </w:r>
          </w:p>
          <w:p w14:paraId="141997D1" w14:textId="77777777" w:rsidR="005214E3" w:rsidRPr="00EF5168" w:rsidRDefault="005214E3" w:rsidP="00D8097C">
            <w:pPr>
              <w:pStyle w:val="MDPI14history"/>
              <w:spacing w:before="120"/>
            </w:pPr>
            <w:r w:rsidRPr="00EF5168">
              <w:t>Received: date</w:t>
            </w:r>
          </w:p>
          <w:p w14:paraId="34E1E306" w14:textId="77777777" w:rsidR="005214E3" w:rsidRPr="00EF5168" w:rsidRDefault="005214E3" w:rsidP="00D8097C">
            <w:pPr>
              <w:pStyle w:val="MDPI14history"/>
            </w:pPr>
            <w:r w:rsidRPr="00EF5168">
              <w:t>Revised: date</w:t>
            </w:r>
          </w:p>
          <w:p w14:paraId="58CF3C90" w14:textId="77777777" w:rsidR="005214E3" w:rsidRPr="00EF5168" w:rsidRDefault="005214E3" w:rsidP="00D8097C">
            <w:pPr>
              <w:pStyle w:val="MDPI14history"/>
            </w:pPr>
            <w:r w:rsidRPr="00EF5168">
              <w:t>Accepted: date</w:t>
            </w:r>
          </w:p>
          <w:p w14:paraId="215342EC" w14:textId="77777777" w:rsidR="005214E3" w:rsidRPr="00EF5168" w:rsidRDefault="005214E3" w:rsidP="00D8097C">
            <w:pPr>
              <w:pStyle w:val="MDPI14history"/>
              <w:spacing w:after="120"/>
            </w:pPr>
            <w:r w:rsidRPr="00EF5168">
              <w:t>Published: date</w:t>
            </w:r>
          </w:p>
          <w:p w14:paraId="123B0CB6" w14:textId="77777777" w:rsidR="005214E3" w:rsidRPr="00EF5168" w:rsidRDefault="005214E3" w:rsidP="00D8097C">
            <w:pPr>
              <w:adjustRightInd w:val="0"/>
              <w:snapToGrid w:val="0"/>
              <w:spacing w:before="120" w:line="240" w:lineRule="atLeast"/>
              <w:ind w:right="113"/>
              <w:jc w:val="left"/>
              <w:rPr>
                <w:rFonts w:eastAsia="DengXian"/>
                <w:bCs/>
                <w:sz w:val="14"/>
                <w:szCs w:val="14"/>
                <w:lang w:bidi="en-US"/>
              </w:rPr>
            </w:pPr>
            <w:r w:rsidRPr="00EF5168">
              <w:rPr>
                <w:rFonts w:eastAsia="DengXian"/>
                <w:lang w:val="en-GB" w:eastAsia="en-GB"/>
              </w:rPr>
              <w:drawing>
                <wp:inline distT="0" distB="0" distL="0" distR="0" wp14:anchorId="4223FB17" wp14:editId="79648935">
                  <wp:extent cx="692785" cy="249555"/>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2785" cy="249555"/>
                          </a:xfrm>
                          <a:prstGeom prst="rect">
                            <a:avLst/>
                          </a:prstGeom>
                          <a:noFill/>
                          <a:ln>
                            <a:noFill/>
                          </a:ln>
                        </pic:spPr>
                      </pic:pic>
                    </a:graphicData>
                  </a:graphic>
                </wp:inline>
              </w:drawing>
            </w:r>
          </w:p>
          <w:p w14:paraId="7E6365B3" w14:textId="77777777" w:rsidR="005214E3" w:rsidRPr="00EF5168" w:rsidRDefault="005214E3" w:rsidP="00302CEB">
            <w:pPr>
              <w:pStyle w:val="MDPI72Copyright"/>
              <w:rPr>
                <w:rFonts w:eastAsia="DengXian"/>
                <w:lang w:bidi="en-US"/>
              </w:rPr>
            </w:pPr>
            <w:r w:rsidRPr="00EF5168">
              <w:rPr>
                <w:rFonts w:eastAsia="DengXian"/>
                <w:b/>
                <w:lang w:bidi="en-US"/>
              </w:rPr>
              <w:t>Copyright:</w:t>
            </w:r>
            <w:r w:rsidRPr="00EF5168">
              <w:rPr>
                <w:rFonts w:eastAsia="DengXian"/>
                <w:lang w:bidi="en-US"/>
              </w:rPr>
              <w:t xml:space="preserve"> </w:t>
            </w:r>
            <w:r w:rsidR="00302CEB" w:rsidRPr="00EF5168">
              <w:rPr>
                <w:rFonts w:eastAsia="DengXian"/>
                <w:lang w:bidi="en-US"/>
              </w:rPr>
              <w:t>© 2023</w:t>
            </w:r>
            <w:r w:rsidRPr="00EF5168">
              <w:rPr>
                <w:rFonts w:eastAsia="DengXian"/>
                <w:lang w:bidi="en-US"/>
              </w:rPr>
              <w:t xml:space="preserve"> by the authors. Submitted for possible open access publication under the terms and conditions of the Creative Commons Attribution (CC BY) license (https://creativecommons.org/licenses/by/4.0/).</w:t>
            </w:r>
          </w:p>
        </w:tc>
      </w:tr>
    </w:tbl>
    <w:p w14:paraId="598EE7C9" w14:textId="7761F633" w:rsidR="00936915" w:rsidRPr="00EF5168" w:rsidRDefault="00EF5168" w:rsidP="00EF5168">
      <w:pPr>
        <w:pStyle w:val="MDPI16affiliation"/>
        <w:ind w:left="2608" w:firstLine="0"/>
        <w:jc w:val="both"/>
        <w:rPr>
          <w:rStyle w:val="Collegamentoipertestuale"/>
          <w:szCs w:val="16"/>
          <w:lang w:val="it-IT"/>
        </w:rPr>
      </w:pPr>
      <w:r w:rsidRPr="00EF5168">
        <w:rPr>
          <w:vertAlign w:val="superscript"/>
          <w:lang w:val="it-IT"/>
        </w:rPr>
        <w:t xml:space="preserve">1 </w:t>
      </w:r>
      <w:r w:rsidRPr="00EF5168">
        <w:rPr>
          <w:lang w:val="it-IT"/>
        </w:rPr>
        <w:t xml:space="preserve"> </w:t>
      </w:r>
      <w:r w:rsidR="008639D6" w:rsidRPr="00EF5168">
        <w:rPr>
          <w:lang w:val="it-IT"/>
        </w:rPr>
        <w:t>University of Rome Tor Vergata, via della Ricerca Sci</w:t>
      </w:r>
      <w:r w:rsidR="008842B9" w:rsidRPr="00EF5168">
        <w:rPr>
          <w:lang w:val="it-IT"/>
        </w:rPr>
        <w:t>entifica 1, 00173, Rome, Italy;</w:t>
      </w:r>
      <w:r w:rsidRPr="00EF5168">
        <w:rPr>
          <w:lang w:val="it-IT"/>
        </w:rPr>
        <w:t xml:space="preserve"> </w:t>
      </w:r>
      <w:r w:rsidR="008639D6" w:rsidRPr="00EF5168">
        <w:rPr>
          <w:lang w:val="it-IT"/>
        </w:rPr>
        <w:t xml:space="preserve">laura.micheli@uniroma2.it, rocco.cancelliere@uniroma2.it, </w:t>
      </w:r>
      <w:r w:rsidR="008B176D" w:rsidRPr="00EF5168">
        <w:rPr>
          <w:lang w:val="it-IT"/>
        </w:rPr>
        <w:t xml:space="preserve">antonio.ceccarelli@sanasrl.it, </w:t>
      </w:r>
      <w:r w:rsidR="008639D6" w:rsidRPr="00EF5168">
        <w:rPr>
          <w:lang w:val="it-IT"/>
        </w:rPr>
        <w:t>danila.moscone@uniroma2.it</w:t>
      </w:r>
    </w:p>
    <w:p w14:paraId="1EBBA639" w14:textId="54B918FD" w:rsidR="00166D7E" w:rsidRPr="00EF5168" w:rsidRDefault="00EF5168" w:rsidP="00EF5168">
      <w:pPr>
        <w:pStyle w:val="MDPI16affiliation"/>
        <w:ind w:left="2608" w:firstLine="0"/>
        <w:rPr>
          <w:lang w:val="it-IT"/>
        </w:rPr>
      </w:pPr>
      <w:r w:rsidRPr="00EF5168">
        <w:rPr>
          <w:vertAlign w:val="superscript"/>
          <w:lang w:val="it-IT"/>
        </w:rPr>
        <w:t>2</w:t>
      </w:r>
      <w:r w:rsidRPr="00EF5168">
        <w:rPr>
          <w:lang w:val="it-IT"/>
        </w:rPr>
        <w:t xml:space="preserve">  </w:t>
      </w:r>
      <w:r w:rsidR="00383A0D" w:rsidRPr="00EF5168">
        <w:rPr>
          <w:lang w:val="it-IT"/>
        </w:rPr>
        <w:t xml:space="preserve">University of Rome La Sapienza, piazza Aldo Moro 1, 00100 Rome, Italy; </w:t>
      </w:r>
      <w:r w:rsidR="00C14AE0" w:rsidRPr="00EF5168">
        <w:rPr>
          <w:szCs w:val="16"/>
          <w:lang w:val="it-IT"/>
        </w:rPr>
        <w:t xml:space="preserve">cristine.dagostino@uniroma1.it </w:t>
      </w:r>
      <w:r w:rsidR="00383A0D" w:rsidRPr="00EF5168">
        <w:rPr>
          <w:szCs w:val="16"/>
          <w:lang w:val="it-IT"/>
        </w:rPr>
        <w:t> </w:t>
      </w:r>
    </w:p>
    <w:p w14:paraId="3C3820C3" w14:textId="6899C2F6" w:rsidR="008B176D" w:rsidRPr="00EF5168" w:rsidRDefault="00EF5168" w:rsidP="00EF5168">
      <w:pPr>
        <w:pStyle w:val="MDPI16affiliation"/>
        <w:ind w:left="2608" w:firstLine="0"/>
        <w:rPr>
          <w:lang w:val="it-IT"/>
        </w:rPr>
      </w:pPr>
      <w:r w:rsidRPr="00164A4C">
        <w:rPr>
          <w:vertAlign w:val="superscript"/>
          <w:lang w:val="it-IT"/>
        </w:rPr>
        <w:t>3</w:t>
      </w:r>
      <w:r w:rsidRPr="00164A4C">
        <w:rPr>
          <w:lang w:val="it-IT"/>
        </w:rPr>
        <w:t xml:space="preserve">  </w:t>
      </w:r>
      <w:r w:rsidR="008B176D" w:rsidRPr="00EF5168">
        <w:rPr>
          <w:lang w:val="it-IT"/>
        </w:rPr>
        <w:t>Laboratorio di analisi agroalimentare Sana srl – Corso Lazio 17 031000, Frosinone, Italy; sanasrl.it3576@sanasrl.it, antonio.ceccarelli@sanasrl.it</w:t>
      </w:r>
    </w:p>
    <w:p w14:paraId="5A5EE308" w14:textId="3772CFC1" w:rsidR="00936915" w:rsidRPr="00EF5168" w:rsidRDefault="00383A0D" w:rsidP="00EF5168">
      <w:pPr>
        <w:pStyle w:val="MDPI16affiliation"/>
        <w:rPr>
          <w:rStyle w:val="Collegamentoipertestuale"/>
          <w:szCs w:val="16"/>
        </w:rPr>
      </w:pPr>
      <w:r w:rsidRPr="00EF5168">
        <w:rPr>
          <w:vertAlign w:val="superscript"/>
        </w:rPr>
        <w:t>4</w:t>
      </w:r>
      <w:r w:rsidR="00936915" w:rsidRPr="00EF5168">
        <w:tab/>
      </w:r>
      <w:r w:rsidR="008842B9" w:rsidRPr="00EF5168">
        <w:t>Istituto Superiore di Sanità, Department of Food Safety, Nutrition and Veterinary public Health, v.le Regina Elena 299, 00161 Rome, Italy; elisabetta.suffredini@iss.it, loredana.cozzi@iss.it</w:t>
      </w:r>
    </w:p>
    <w:p w14:paraId="652843B3" w14:textId="4164A1B6" w:rsidR="00C14AE0" w:rsidRPr="00EF5168" w:rsidRDefault="00383A0D" w:rsidP="00EF5168">
      <w:pPr>
        <w:pStyle w:val="MDPI16affiliation"/>
        <w:rPr>
          <w:rStyle w:val="Collegamentoipertestuale"/>
          <w:szCs w:val="16"/>
          <w:lang w:val="it-IT"/>
        </w:rPr>
      </w:pPr>
      <w:r w:rsidRPr="00EF5168">
        <w:rPr>
          <w:vertAlign w:val="superscript"/>
          <w:lang w:val="it-IT"/>
        </w:rPr>
        <w:t>5</w:t>
      </w:r>
      <w:r w:rsidR="008B176D" w:rsidRPr="00EF5168">
        <w:rPr>
          <w:vertAlign w:val="superscript"/>
          <w:lang w:val="it-IT"/>
        </w:rPr>
        <w:t xml:space="preserve"> </w:t>
      </w:r>
      <w:r w:rsidR="00C14AE0" w:rsidRPr="00EF5168">
        <w:rPr>
          <w:lang w:val="it-IT"/>
        </w:rPr>
        <w:tab/>
      </w:r>
      <w:r w:rsidR="008842B9" w:rsidRPr="00EF5168">
        <w:rPr>
          <w:lang w:val="it-IT"/>
        </w:rPr>
        <w:t>Istituto Superiore di Sanità, National Center for Water Safety (CeNSia), v.le Regina Elena 299, 00161 Rome, Italy; giuseppina.larosa@iss.it</w:t>
      </w:r>
    </w:p>
    <w:p w14:paraId="36181CAB" w14:textId="6566571B" w:rsidR="00936915" w:rsidRPr="00EF5168" w:rsidRDefault="00936915" w:rsidP="00936915">
      <w:pPr>
        <w:pStyle w:val="MDPI16affiliation"/>
      </w:pPr>
      <w:r w:rsidRPr="00EF5168">
        <w:rPr>
          <w:b/>
        </w:rPr>
        <w:t>*</w:t>
      </w:r>
      <w:r w:rsidRPr="00EF5168">
        <w:tab/>
        <w:t xml:space="preserve">Correspondence: </w:t>
      </w:r>
      <w:hyperlink r:id="rId9" w:history="1">
        <w:r w:rsidR="00C91B38" w:rsidRPr="00EF5168">
          <w:rPr>
            <w:rStyle w:val="Collegamentoipertestuale"/>
            <w:szCs w:val="16"/>
            <w:lang w:val="en-GB"/>
          </w:rPr>
          <w:t>laura.micheli@uniroma2.it</w:t>
        </w:r>
      </w:hyperlink>
    </w:p>
    <w:p w14:paraId="531A7825" w14:textId="77777777" w:rsidR="00C14AE0" w:rsidRPr="00EF5168" w:rsidRDefault="00C14AE0" w:rsidP="00FF5025">
      <w:pPr>
        <w:pStyle w:val="MDPI17abstract"/>
        <w:spacing w:before="0"/>
        <w:rPr>
          <w:b/>
          <w:szCs w:val="18"/>
        </w:rPr>
      </w:pPr>
    </w:p>
    <w:p w14:paraId="381519E5" w14:textId="77777777" w:rsidR="009459BB" w:rsidRPr="00EF5168" w:rsidRDefault="00936915" w:rsidP="009459BB">
      <w:pPr>
        <w:pStyle w:val="MDPI17abstract"/>
        <w:spacing w:before="0"/>
      </w:pPr>
      <w:r w:rsidRPr="00EF5168">
        <w:rPr>
          <w:b/>
          <w:color w:val="auto"/>
          <w:szCs w:val="18"/>
        </w:rPr>
        <w:t xml:space="preserve">Abstract: </w:t>
      </w:r>
      <w:r w:rsidR="009459BB" w:rsidRPr="00EF5168">
        <w:t>Globally, waterborne viral infections pose a significant threat to public health. While current European Union regulations stipulate that drinking water must be devoid of harmful pathogens, they do not specifically address the presence of enteric viruses in water utilized for irrigation or food production. Traditional virus detection methods rely on molecular biology assays, which necessitate specialized personnel and laboratory facilities. Here, we describe an electrochemical sandwich enzyme-linked immunomagnetic assay (ELIME) for the detection of Hepatitis A Virus (HAV) in water matrices. This method employs screen-printed electrodes as the sensing platform and utilizes commercially available pre-activated magnetic beads to provide a robust foundation for the immunological reaction. The ELIME assay demonstrated exceptional analytical performance, achieving a detection limit of 0.5 genomic copies per milliliter (g.c./mL) and exhibiting good reproducibility with a relative standard deviation (RSD) of 7% in HAV-spiked drinking and processing water samples. Compared to the real-time RT-qPCR method described in ISO 15216-1, the ELIME assay demonstrated higher sensitivity, although the overall linearity of the method was moderate. These analytical attributes highlight the potential of the ELIME assay as a rapid and viable alternative for HAV detection in water used for agriculture and food processing.</w:t>
      </w:r>
    </w:p>
    <w:p w14:paraId="1AC3ED16" w14:textId="77777777" w:rsidR="009459BB" w:rsidRPr="00EF5168" w:rsidRDefault="009459BB" w:rsidP="009459BB">
      <w:pPr>
        <w:pStyle w:val="MDPI17abstract"/>
        <w:spacing w:before="0"/>
        <w:rPr>
          <w:b/>
          <w:szCs w:val="18"/>
        </w:rPr>
      </w:pPr>
    </w:p>
    <w:p w14:paraId="7FA1C707" w14:textId="4E8D38AC" w:rsidR="00936915" w:rsidRPr="00EF5168" w:rsidRDefault="00936915" w:rsidP="009459BB">
      <w:pPr>
        <w:pStyle w:val="MDPI17abstract"/>
        <w:spacing w:before="0"/>
        <w:rPr>
          <w:szCs w:val="18"/>
        </w:rPr>
      </w:pPr>
      <w:r w:rsidRPr="00EF5168">
        <w:rPr>
          <w:b/>
          <w:szCs w:val="18"/>
        </w:rPr>
        <w:t xml:space="preserve">Keywords: </w:t>
      </w:r>
      <w:r w:rsidR="00096679" w:rsidRPr="00EF5168">
        <w:rPr>
          <w:szCs w:val="18"/>
        </w:rPr>
        <w:t>HAV</w:t>
      </w:r>
      <w:r w:rsidRPr="00EF5168">
        <w:rPr>
          <w:szCs w:val="18"/>
        </w:rPr>
        <w:t xml:space="preserve">; </w:t>
      </w:r>
      <w:r w:rsidR="00096679" w:rsidRPr="00EF5168">
        <w:rPr>
          <w:szCs w:val="18"/>
        </w:rPr>
        <w:t>ELIME</w:t>
      </w:r>
      <w:r w:rsidRPr="00EF5168">
        <w:rPr>
          <w:szCs w:val="18"/>
        </w:rPr>
        <w:t xml:space="preserve">; </w:t>
      </w:r>
      <w:r w:rsidR="00096679" w:rsidRPr="00EF5168">
        <w:rPr>
          <w:szCs w:val="18"/>
        </w:rPr>
        <w:t xml:space="preserve">screen-printed electrodes; drinking water; vegetable processing water. </w:t>
      </w:r>
    </w:p>
    <w:p w14:paraId="7C5D544C" w14:textId="77777777" w:rsidR="00936915" w:rsidRPr="00EF5168" w:rsidRDefault="00936915" w:rsidP="00936915">
      <w:pPr>
        <w:pStyle w:val="MDPI19line"/>
      </w:pPr>
    </w:p>
    <w:p w14:paraId="2377D216" w14:textId="7C3C62C8" w:rsidR="00936915" w:rsidRPr="00EF5168" w:rsidRDefault="00EF5168" w:rsidP="00EF5168">
      <w:pPr>
        <w:pStyle w:val="MDPI21heading1"/>
      </w:pPr>
      <w:r w:rsidRPr="00EF5168">
        <w:t xml:space="preserve">1. </w:t>
      </w:r>
      <w:r w:rsidR="00936915" w:rsidRPr="00EF5168">
        <w:t>Introduction</w:t>
      </w:r>
    </w:p>
    <w:p w14:paraId="49B68806" w14:textId="77777777" w:rsidR="00312FBA" w:rsidRPr="00EF5168" w:rsidRDefault="00C443E7" w:rsidP="00EF5168">
      <w:pPr>
        <w:pStyle w:val="MDPI31text"/>
      </w:pPr>
      <w:r w:rsidRPr="00EF5168">
        <w:t xml:space="preserve">Hepatitis A virus (HAV), a </w:t>
      </w:r>
      <w:r w:rsidR="004038F4" w:rsidRPr="00EF5168">
        <w:t xml:space="preserve">non-enveloped, </w:t>
      </w:r>
      <w:r w:rsidRPr="00EF5168">
        <w:t>single-stranded positive-sense RNA virus within the Picornaviridae family, is the causative agent of acute viral hepatitis and is responsible for numerous cases and outbreaks globally</w:t>
      </w:r>
      <w:r w:rsidR="00EA44A7" w:rsidRPr="00EF5168">
        <w:t xml:space="preserve"> </w:t>
      </w:r>
      <w:r w:rsidR="00EA44A7" w:rsidRPr="00EF5168">
        <w:fldChar w:fldCharType="begin"/>
      </w:r>
      <w:r w:rsidR="00EA44A7" w:rsidRPr="00EF5168">
        <w:instrText xml:space="preserve"> ADDIN ZOTERO_ITEM CSL_CITATION {"citationID":"psjUCLRe","properties":{"formattedCitation":"[1,2]","plainCitation":"[1,2]","noteIndex":0},"citationItems":[{"id":970,"uris":["http://zotero.org/users/local/n3CkrUVW/items/B9HXMCLF"],"itemData":{"id":970,"type":"article-journal","container-title":"Nature Reviews Disease Primers","DOI":"10.1038/s41572-023-00461-2","ISSN":"2056-676X","issue":"1","journalAbbreviation":"Nat Rev Dis Primers","language":"en","page":"51","source":"DOI.org (Crossref)","title":"Hepatitis A virus infection","volume":"9","author":[{"family":"Van Damme","given":"Pierre"},{"family":"Pintó","given":"Rosa M."},{"family":"Feng","given":"Zongdi"},{"family":"Cui","given":"Fuqiang"},{"family":"Gentile","given":"Angela"},{"family":"Shouval","given":"Daniel"}],"issued":{"date-parts":[["2023",9,28]]}},"label":"page"},{"id":968,"uris":["http://zotero.org/users/local/n3CkrUVW/items/J72L5H4E"],"itemData":{"id":968,"type":"article-journal","container-title":"Nature","DOI":"10.1038/nature13806","ISSN":"0028-0836, 1476-4687","issue":"7532","journalAbbreviation":"Nature","language":"en","page":"85-88","source":"DOI.org (Crossref)","title":"Hepatitis A virus and the origins of picornaviruses","volume":"517","author":[{"family":"Wang","given":"Xiangxi"},{"family":"Ren","given":"Jingshan"},{"family":"Gao","given":"Qiang"},{"family":"Hu","given":"Zhongyu"},{"family":"Sun","given":"Yao"},{"family":"Li","given":"Xuemei"},{"family":"Rowlands","given":"David J."},{"family":"Yin","given":"Weidong"},{"family":"Wang","given":"Junzhi"},{"family":"Stuart","given":"David I."},{"family":"Rao","given":"Zihe"},{"family":"Fry","given":"Elizabeth E."}],"issued":{"date-parts":[["2015",1]]}},"label":"page"}],"schema":"https://github.com/citation-style-language/schema/raw/master/csl-citation.json"} </w:instrText>
      </w:r>
      <w:r w:rsidR="00EA44A7" w:rsidRPr="00EF5168">
        <w:fldChar w:fldCharType="separate"/>
      </w:r>
      <w:r w:rsidR="00EA44A7" w:rsidRPr="00EF5168">
        <w:t>[1,2]</w:t>
      </w:r>
      <w:r w:rsidR="00EA44A7" w:rsidRPr="00EF5168">
        <w:fldChar w:fldCharType="end"/>
      </w:r>
      <w:r w:rsidRPr="00EF5168">
        <w:t>. HAV is primarily spread via the faecal-oral route, either through direct contact with infected individuals or through the ingestion of contaminated food (such as bivalve shellfish and soft fruits) or water</w:t>
      </w:r>
      <w:r w:rsidR="00EA44A7" w:rsidRPr="00EF5168">
        <w:t xml:space="preserve"> </w:t>
      </w:r>
      <w:r w:rsidR="00EA44A7" w:rsidRPr="00EF5168">
        <w:fldChar w:fldCharType="begin"/>
      </w:r>
      <w:r w:rsidR="00EA44A7" w:rsidRPr="00EF5168">
        <w:instrText xml:space="preserve"> ADDIN ZOTERO_ITEM CSL_CITATION {"citationID":"BukUaxJu","properties":{"formattedCitation":"[3,4]","plainCitation":"[3,4]","noteIndex":0},"citationItems":[{"id":971,"uris":["http://zotero.org/users/local/n3CkrUVW/items/Z2VVHP7V"],"itemData":{"id":971,"type":"article-journal","abstract":"The hepatitis A virus (HAV) is still a leading cause of viral hepatitis worldwide. After a long incubation period, the clinical manifestations range from asymptomatic infection to acute liver failure. The severity of the disease increases with age and pre-existing liver disease. The transmission is mainly via person-to-person contact or ingestion of contaminated food or water. Food contamination can occur at any step of the food chain, especially when infected people handle not-heated or otherwise-treated food. HAV is endemic in low-income countries because of poor sanitary and sociodemographic conditions. The populations of developed countries are highly susceptible, and large outbreaks occur when HAV is introduced from endemic countries due to globalization, travel, and movement of foodstuffs. HAV prevention includes hygiene practices, immunoglobulins, and vaccination. Safe and effective inactivated and live attenuated vaccines are available and provide long-term protection. The vaccine targets are children and subjects at increased risk of HAV exposure or serious clinical outcomes. This review discusses the critical role of food handlers in the spread of HAV and the opportunity for food industry employers to consider food handler immunization a tool to manage both food safety in compliance with HACCP principles and food operators’ biologic risk.","container-title":"Vaccines","DOI":"10.3390/vaccines11071271","ISSN":"2076-393X","issue":"7","journalAbbreviation":"Vaccines","language":"en","license":"https://creativecommons.org/licenses/by/4.0/","page":"1271","source":"DOI.org (Crossref)","title":"Hepatitis a Vaccine as Opportunity of Primary Prevention for Food Handlers: A Narrative Review","title-short":"Hepatitis a Vaccine as Opportunity of Primary Prevention for Food Handlers","volume":"11","author":[{"family":"Fallucca","given":"Alessandra"},{"family":"Restivo","given":"Vincenzo"},{"family":"Sgariglia","given":"Maria Chiara"},{"family":"Roveta","given":"Marco"},{"family":"Trucchi","given":"Cecilia"}],"issued":{"date-parts":[["2023",7,21]]}}},{"id":973,"uris":["http://zotero.org/users/local/n3CkrUVW/items/9UTZ34JT"],"itemData":{"id":973,"type":"article-journal","abstract":"Abstract\n            Viral hepatitis is caused by a heterogenous group of viral agents representing a wide range of phylogenetic groups. Many viruses can involve the liver and cause liver injury but only a subset are delineated as ‘hepatitis viruses’ based upon their primary site of replication and tropism for hepatocytes which make up the bulk of the liver cell population. Since their discovery, beginning with the agent that caused serum hepatitis in the 1960s, the alphabetic designations have been utilized. To date, we have five hepatitis viruses, A through E, though it is postulated that others may exist. This chapter will focus on those viruses. Note that hepatitis D is included as a subset of hepatitis B, as it cannot exist without concurrent hepatitis B infection. Pregnancy has the potential to affect all aspects of these viral agents due to the unique immunologic and physiologic changes that occur during and after the gestational period. In this review, we will discuss the most common viral hepatitis and their effects during pregnancy.","container-title":"Journal of Viral Hepatitis","DOI":"10.1111/jvh.13725","ISSN":"1352-0504, 1365-2893","issue":"10","journalAbbreviation":"Journal of Viral Hepatitis","language":"en","page":"844-861","source":"DOI.org (Crossref)","title":"Viral hepatitis in pregnancy","volume":"29","author":[{"family":"Shata","given":"Mohamed Tarek M."},{"family":"Hetta","given":"Helal F."},{"family":"Sharma","given":"Yeshika"},{"family":"Sherman","given":"Kenneth E."}],"issued":{"date-parts":[["2022",10]]}}}],"schema":"https://github.com/citation-style-language/schema/raw/master/csl-citation.json"} </w:instrText>
      </w:r>
      <w:r w:rsidR="00EA44A7" w:rsidRPr="00EF5168">
        <w:fldChar w:fldCharType="separate"/>
      </w:r>
      <w:r w:rsidR="00EA44A7" w:rsidRPr="00EF5168">
        <w:t>[3,4]</w:t>
      </w:r>
      <w:r w:rsidR="00EA44A7" w:rsidRPr="00EF5168">
        <w:fldChar w:fldCharType="end"/>
      </w:r>
      <w:r w:rsidRPr="00EF5168">
        <w:t xml:space="preserve">. The prevalence of food- and waterborne viral diseases represents a substantial public health challenge worldwide. A comprehensive review of HAV prevalence across various water matrices—including untreated and treated wastewater, surface water, groundwater, and drinking water—reported an overall prevalence of 16.7%, with the highest </w:t>
      </w:r>
      <w:r w:rsidR="009F0771" w:rsidRPr="00EF5168">
        <w:t xml:space="preserve">prevalence </w:t>
      </w:r>
      <w:r w:rsidRPr="00EF5168">
        <w:t>in untreated wastewater (31.4%) and the lowest in drinking water (0.3%)</w:t>
      </w:r>
      <w:r w:rsidR="00EA44A7" w:rsidRPr="00EF5168">
        <w:t xml:space="preserve"> </w:t>
      </w:r>
      <w:r w:rsidR="00EA44A7" w:rsidRPr="00EF5168">
        <w:fldChar w:fldCharType="begin"/>
      </w:r>
      <w:r w:rsidR="00EA44A7" w:rsidRPr="00EF5168">
        <w:instrText xml:space="preserve"> ADDIN ZOTERO_ITEM CSL_CITATION {"citationID":"oGgyH1DN","properties":{"formattedCitation":"[5]","plainCitation":"[5]","noteIndex":0},"citationItems":[{"id":562,"uris":["http://zotero.org/users/local/n3CkrUVW/items/34XNTKVX"],"itemData":{"id":562,"type":"article-journal","abstract":"Hepatitis A is a common form of viral hepatitis. It is usually transmitted through the ingestion of contaminated food and water. This systematic review was carried out to summarise the overall prevalence of Hepatitis A virus (HAV) in different water matrices: untreated and treated wastewater, surface water, groundwater, drinking water, and others (e.g., irrigation water and floodwater). The literature search was performed in four databases: PubMed, Web of Science, Global Index Medicus, and Excerpta Medica Database. Heterogeneity (I2) was assessed using the χ2 test on the Cochran Q statistic and H parameters. A total of 200 prevalence data from 144 articles were included in this meta-analysis. The overall prevalence of HAV in water matrices was 16.7% (95% CI: 13.4–20.3). The prevalence for individual matrix was as follows: 31.4% (95% CI: 23.0–40.4) untreated wastewater, 18.0% (95% CI: 9.5–28.2) treated wastewater, 15.0% (95% CI: 10.1–20.5) surface water, 2.3% (95% CI: 0.1–6.0) in groundwater, 0.3% (95% CI: 0.0–1.7) in drinking water, and 8.5% (95% CI: 3.1–15.6) in other matrices. The prevalence was higher in low-income economies (29.0%). Africa and Eastern Mediterranean were the regions with higher HAV prevalence values. This study showed a high heterogeneity (I2 &gt; 75%) with a significant publication bias (p value Egger test &lt; 0.001). The results of this review suggest that water matrices could be an important route of HAV transmission even in industrialized countries, despite the lower prevalence compared to less industrialized countries, and the availability of advanced water management systems. More effective water/wastewater treatment strategies are needed in developing countries to limit the environmental circulation of HAV.","container-title":"International Journal of Environmental Research and Public Health","DOI":"10.3390/ijerph20021054","ISSN":"1660-4601","issue":"2","journalAbbreviation":"IJERPH","language":"en","page":"1054","source":"DOI.org (Crossref)","title":"Occurrence of Hepatitis A Virus in Water Matrices: A Systematic Review and Meta-Analysis","title-short":"Occurrence of Hepatitis A Virus in Water Matrices","volume":"20","author":[{"family":"Takuissu","given":"Guy Roussel"},{"family":"Kenmoe","given":"Sebastien"},{"family":"Ebogo-Belobo","given":"Jean Thierry"},{"family":"Kengne-Ndé","given":"Cyprien"},{"family":"Mbaga","given":"Donatien Serge"},{"family":"Bowo-Ngandji","given":"Arnol"},{"family":"Ndzie Ondigui","given":"Juliette Laure"},{"family":"Kenfack-Momo","given":"Raoul"},{"family":"Tchatchouang","given":"Serges"},{"family":"Kenfack-Zanguim","given":"Josiane"},{"family":"Lontuo Fogang","given":"Robertine"},{"family":"Zeuko’o Menkem","given":"Elisabeth"},{"family":"Kame-Ngasse","given":"Ginette Irma"},{"family":"Magoudjou-Pekam","given":"Jeannette Nina"},{"family":"Veneri","given":"Carolina"},{"family":"Mancini","given":"Pamela"},{"family":"Bonanno Ferraro","given":"Giusy"},{"family":"Iaconelli","given":"Marcello"},{"family":"Orlandi","given":"Lidia"},{"family":"Del Giudice","given":"Claudia"},{"family":"Suffredini","given":"Elisabetta"},{"family":"La Rosa","given":"Giuseppina"}],"issued":{"date-parts":[["2023",1,6]]}}}],"schema":"https://github.com/citation-style-language/schema/raw/master/csl-citation.json"} </w:instrText>
      </w:r>
      <w:r w:rsidR="00EA44A7" w:rsidRPr="00EF5168">
        <w:fldChar w:fldCharType="separate"/>
      </w:r>
      <w:r w:rsidR="00EA44A7" w:rsidRPr="00EF5168">
        <w:t>[5]</w:t>
      </w:r>
      <w:r w:rsidR="00EA44A7" w:rsidRPr="00EF5168">
        <w:fldChar w:fldCharType="end"/>
      </w:r>
      <w:r w:rsidRPr="00EF5168">
        <w:t xml:space="preserve">. </w:t>
      </w:r>
    </w:p>
    <w:p w14:paraId="2AF7E26F" w14:textId="5EC1BE83" w:rsidR="00312FBA" w:rsidRPr="00EF5168" w:rsidRDefault="00C443E7" w:rsidP="00EF5168">
      <w:pPr>
        <w:pStyle w:val="MDPI31text"/>
      </w:pPr>
      <w:r w:rsidRPr="00EF5168">
        <w:t xml:space="preserve">Currently, European Union legislation on water intended for human consumption (EU Dir. 2020/2184) depends on faecal indicator bacteria (FIB) for microbiological safety, </w:t>
      </w:r>
      <w:r w:rsidRPr="00EF5168">
        <w:lastRenderedPageBreak/>
        <w:t>which is more straightforward to measure compared to the full range of pathogens that pose health risks</w:t>
      </w:r>
      <w:r w:rsidR="00EA44A7" w:rsidRPr="00EF5168">
        <w:t xml:space="preserve"> </w:t>
      </w:r>
      <w:r w:rsidR="00EA44A7" w:rsidRPr="00EF5168">
        <w:fldChar w:fldCharType="begin"/>
      </w:r>
      <w:r w:rsidR="00EA44A7" w:rsidRPr="00EF5168">
        <w:instrText xml:space="preserve"> ADDIN ZOTERO_ITEM CSL_CITATION {"citationID":"f0RHk2uu","properties":{"formattedCitation":"[6]","plainCitation":"[6]","noteIndex":0},"citationItems":[{"id":581,"uris":["http://zotero.org/users/local/n3CkrUVW/items/YL5BM5CC"],"itemData":{"id":581,"type":"article-journal","container-title":"Science of The Total Environment","DOI":"10.1016/j.scitotenv.2022.155663","ISSN":"00489697","journalAbbreviation":"Science of The Total Environment","language":"en","page":"155663","source":"DOI.org (Crossref)","title":"Application of digital PCR for public health-related water quality monitoring","volume":"837","author":[{"family":"Tiwari","given":"Ananda"},{"family":"Ahmed","given":"Warish"},{"family":"Oikarinen","given":"Sami"},{"family":"Sherchan","given":"Samendra P."},{"family":"Heikinheimo","given":"Annamari"},{"family":"Jiang","given":"Guangming"},{"family":"Simpson","given":"Stuart L."},{"family":"Greaves","given":"Justin"},{"family":"Bivins","given":"Aaron"}],"issued":{"date-parts":[["2022",9]]}}}],"schema":"https://github.com/citation-style-language/schema/raw/master/csl-citation.json"} </w:instrText>
      </w:r>
      <w:r w:rsidR="00EA44A7" w:rsidRPr="00EF5168">
        <w:fldChar w:fldCharType="separate"/>
      </w:r>
      <w:r w:rsidR="00EA44A7" w:rsidRPr="00EF5168">
        <w:t>[6]</w:t>
      </w:r>
      <w:r w:rsidR="00EA44A7" w:rsidRPr="00EF5168">
        <w:fldChar w:fldCharType="end"/>
      </w:r>
      <w:r w:rsidRPr="00EF5168">
        <w:t xml:space="preserve">. However, FIB does not adequately indicate the presence of pathogenic viruses. Similarly, regulations on microbial contamination in food products and hygiene in primary production (Reg. EC 2073/2005, 853/2004, 852/2004, and subsequent amendments) mandate the use of water deemed 'suitable for human consumption' or 'clean water,' yet lack specific microbiological criteria for enteric viruses in waters </w:t>
      </w:r>
      <w:r w:rsidR="009F0771" w:rsidRPr="00EF5168">
        <w:t>us</w:t>
      </w:r>
      <w:r w:rsidRPr="00EF5168">
        <w:t>ed for food production or irrigation</w:t>
      </w:r>
      <w:r w:rsidR="00364A56" w:rsidRPr="00EF5168">
        <w:t xml:space="preserve"> </w:t>
      </w:r>
      <w:r w:rsidR="00364A56" w:rsidRPr="00EF5168">
        <w:fldChar w:fldCharType="begin"/>
      </w:r>
      <w:r w:rsidR="008D3AF0" w:rsidRPr="00EF5168">
        <w:instrText xml:space="preserve"> ADDIN ZOTERO_ITEM CSL_CITATION {"citationID":"L30kYHbE","properties":{"formattedCitation":"[7\\uc0\\u8211{}9]","plainCitation":"[7–9]","noteIndex":0},"citationItems":[{"id":981,"uris":["http://zotero.org/users/local/n3CkrUVW/items/EVQPMFPX"],"itemData":{"id":981,"type":"article-journal","abstract":"Legislation on food safety has led towards the standardization of food productions which, together with the existing quality certifications, aim to increase the level of protection of public health. It is recognized the need for the agri-food industry to have tools to harmonize their productions and to adequately manage their quality systems in order to improve consumers’ confidence. The implementation of microbiological criteria is focused on facilitating this harmonization by enabling the discrimination of defective lots and acting as control tools at industrial level. Therefore, knowledge of the principles, components and factors influencing the efficiency of microbiological criteria may be helpful to better understand the consequences of their application. In the present study the main principles, methodologies and applications of microbiological criteria in foods are addressed for their implementation as a part of the management quality systems of agrifood industries. In addition, potential limitations and impact of microbiological criteria on food safety are discussed. Finally, an assessment of the performance of microbiological criteria at EU level in berries is described for the compliance of the socalled risk-based metrics, namely Performance Objectives and Food Safety Objectives.","container-title":"Italian Journal of Food Safety","DOI":"10.4081/ijfs.2020.8543","ISSN":"2239-7132","issue":"1","journalAbbreviation":"Ital J Food Safety","license":"https://creativecommons.org/licenses/by-nc/4.0","source":"DOI.org (Crossref)","title":"Microbiological criteria: Principles for their establishment and application in food quality and safety","title-short":"Microbiological criteria","URL":"https://www.pagepressjournals.org/index.php/ijfs/article/view/8543","volume":"9","author":[{"family":"Pérez-Lavalle","given":"Liliana"},{"family":"Carrasco","given":"Elena"},{"family":"Valero Diaz","given":"Antonio"}],"accessed":{"date-parts":[["2024",6,21]]},"issued":{"date-parts":[["2020",4,6]]}},"label":"page"},{"id":979,"uris":["http://zotero.org/users/local/n3CkrUVW/items/U4EWZI3V"],"itemData":{"id":979,"type":"article-journal","container-title":"Water Research","DOI":"10.1016/j.watres.2018.11.058","ISSN":"00431354","journalAbbreviation":"Water Research","language":"en","page":"200-215","source":"DOI.org (Crossref)","title":"Occurrence of microbial indicators, pathogenic bacteria and viruses in tropical surface waters subject to contrasting land use","volume":"150","author":[{"family":"Goh","given":"Shin Giek"},{"family":"Saeidi","given":"Nazanin"},{"family":"Gu","given":"Xiaoqiong"},{"family":"Vergara","given":"Genevieve Gabrielle Rose"},{"family":"Liang","given":"Liang"},{"family":"Fang","given":"Haoming"},{"family":"Kitajima","given":"Masaaki"},{"family":"Kushmaro","given":"Ariel"},{"family":"Gin","given":"Karina Yew-Hoong"}],"issued":{"date-parts":[["2019",3]]}},"label":"page"},{"id":983,"uris":["http://zotero.org/users/local/n3CkrUVW/items/TN2YTBM7"],"itemData":{"id":983,"type":"article-journal","container-title":"Heliyon","DOI":"10.1016/j.heliyon.2023.e17135","ISSN":"24058440","issue":"6","journalAbbreviation":"Heliyon","language":"en","page":"e17135","source":"DOI.org (Crossref)","title":"Hygiene practices of food of animal origin operators in primary schools in the Mono Department of Benin. A cross-sectional study","volume":"9","author":[{"family":"Hounkpe","given":"Eustache C."},{"family":"Sessou","given":"Philippe"},{"family":"Farougou","given":"Souaïbou"},{"family":"Dotche","given":"Ignace"},{"family":"Daube","given":"Georges"},{"family":"Delcenserie","given":"Véronique"},{"family":"Azokpota","given":"Paulin"},{"family":"Korsak","given":"Nicolas"}],"issued":{"date-parts":[["2023",6]]}}}],"schema":"https://github.com/citation-style-language/schema/raw/master/csl-citation.json"} </w:instrText>
      </w:r>
      <w:r w:rsidR="00364A56" w:rsidRPr="00EF5168">
        <w:fldChar w:fldCharType="separate"/>
      </w:r>
      <w:r w:rsidR="008D3AF0" w:rsidRPr="00EF5168">
        <w:t>[7–9]</w:t>
      </w:r>
      <w:r w:rsidR="00364A56" w:rsidRPr="00EF5168">
        <w:fldChar w:fldCharType="end"/>
      </w:r>
      <w:r w:rsidRPr="00EF5168">
        <w:t>. Public health management strategies for hepatitis A emphasize pre-exposure vaccination for high-risk groups, education on good personal hygiene, particularly hand hygiene, and the provision of adequate sanitation and housing. Countries with high-income levels and robust sanitary conditions typically exhibit low infection rates. Understanding the environmental sources of HAV is critical for controlling the disease. Studies have identified HAV in foods, treated and untreated wastewater, and va</w:t>
      </w:r>
      <w:r w:rsidRPr="00EF5168">
        <w:rPr>
          <w:rFonts w:hint="eastAsia"/>
        </w:rPr>
        <w:t>rious aquatic environments</w:t>
      </w:r>
      <w:r w:rsidR="008D3AF0" w:rsidRPr="00EF5168">
        <w:rPr>
          <w:lang w:val="en-GB"/>
        </w:rPr>
        <w:t xml:space="preserve"> </w:t>
      </w:r>
      <w:r w:rsidR="008D3AF0" w:rsidRPr="00EF5168">
        <w:rPr>
          <w:lang w:val="it-IT"/>
        </w:rPr>
        <w:fldChar w:fldCharType="begin"/>
      </w:r>
      <w:r w:rsidR="008D3AF0" w:rsidRPr="00EF5168">
        <w:rPr>
          <w:lang w:val="en-GB"/>
        </w:rPr>
        <w:instrText xml:space="preserve"> ADDIN ZOTERO_ITEM CSL_CITATION {"citationID":"rxjsaQkJ","properties":{"formattedCitation":"[10\\uc0\\u8211{}12]","plainCitation":"[10–12]","noteIndex":0},"citationItems":[{"id":991,"uris":["http://zotero.org/users/local/n3CkrUVW/items/2QBMLEUI"],"itemData":{"id":991,"type":"chapter","container-title":"Environmental Microbiology","ISBN":"978-0-12-394626-3","language":"en","license":"https://www.elsevier.com/tdm/userlicense/1.0/","note":"DOI: 10.1016/B978-0-12-394626-3.00022-3","page":"509-550","publisher":"Elsevier","source":"DOI.org (Crossref)","title":"Environmentally Transmitted Pathogens","URL":"https://linkinghub.elsevier.com/retrieve/pii/B9780123946263000223","author":[{"family":"Gerba","given":"Charles P."}],"accessed":{"date-parts":[["2024",6,21]]},"issued":{"date-parts":[["2015"]]}},"label":"page"},{"id":989,"uris":["http://zotero.org/users/local/n3CkrUVW/items/DA2TN9PA"],"itemData":{"id":989,"type":"article-journal","abstract":"Hepatitis A virus (HAV) is one of the well-known viruses that cause hepatitis all around the globe. Although this illness has decreased in developed countries due to extensive immunization, numerous developing and under-developed countries are struggling with this virus. HAV infection can be spread by oral-fecal contact, and there are frequent epidemics through nutrition. Improvements in socioeconomic and sanitary circumstances have cause</w:instrText>
      </w:r>
      <w:r w:rsidR="008D3AF0" w:rsidRPr="00EF5168">
        <w:rPr>
          <w:lang w:val="it-IT"/>
        </w:rPr>
        <w:instrText>d a shift in the disease’s prevalence worldwide. Younger children are usually asymptomatic, but as they become older, the infection symptoms begin to appear. Symptoms range from slight inflammation and jaundice to acute liver failure in older individuals. While an acute infection may be self-limiting, unrecognized persistent infections, and the misapplication of therapeutic methods based on clinical guidelines are linked to a higher incidence of cirrhosis, hepatocellular carcinoma, and mortality. Fortunately, most patients recover within two months of infection, though 10–15% of patients will relapse within the first six months. A virus seldom leads to persistent infection or liver damage. The mainstay of therapy is based on supportive care. All children from 12–23 months, as well as some susceptible populations, should receive routine vaccinations, according to the Centers for Disease Control and Prevention and the American Academy of Pediatrics. Laboratory diagnosis of HAV is based on antigen detection, checking liver enzyme levels, and antibody screening. Furthermore, polymerase chain reaction (PCR) technology has identified HAV in suspected nutrition sources; therefore, this technique is used for preventative measures and food-related laws.","container-title":"Canadian Journal of Infectious Diseases and Medical Microbiology","DOI":"10.1155/2023/4263309","ISSN":"1918-1493, 1712-9532","journalAbbreviation":"Canadian Journal of Infectious Diseases and Medical Microbiology","language":"en","license":"https://creativecommons.org/licenses/by/4.0/","page":"1-17","source":"DOI.org (Crossref)","title":"Hepatitis A: Viral Structure, Classification, Life Cycle, Clinical Symptoms, Diagnosis Error, and Vaccination","title-short":"Hepatitis A","volume":"2023","author":[{"family":"Gholizadeh","given":"Omid"},{"family":"Akbarzadeh","given":"Sama"},{"family":"Ghazanfari Hashemi","given":"Mohamad"},{"family":"Gholami","given":"Marjan"},{"family":"Amini","given":"Parya"},{"family":"Yekanipour","given":"Zahra"},{"family":"Tabatabaie","given":"Raheleh"},{"family":"Yasamineh","given":"Saman"},{"family":"Hosseini","given":"Parastoo"},{"family":"Poortahmasebi","given":"Vahdat"}],"editor":[{"family":"Batra","given":"Lalit"}],"issued":{"date-parts":[["2023",1,4]]}},"label":"page"},{"id":975,"uris":["http://zotero.org/users/local/n3CkrUVW/items/AHVQWFK8"],"itemData":{"id":975,"type":"article-journal","abstract":"Hepatitis A is a common form of viral hepatitis. It is usually transmitted through the ingestion of contaminated food and water. This systematic review was carried out to summarise the overall prevalence of Hepatitis A virus (HAV) in different water matrices: untreated and treated wastewater, surface water, groundwater, drinking water, and others (e.g., irrigation water and floodwater). The literature search was performed in four databases: PubMed, Web of Science, Global Index Medicus, and Excerpta Medica Database. Heterogeneity (I2) was assessed using the χ2 test on the Cochran Q statistic and H parameters. A total of 200 prevalence data from 144 articles were included in this meta-analysis. The overall prevalence of HAV in water matrices was 16.7% (95% CI: 13.4–20.3). The prevalence for individual matrix was as follows: 31.4% (95% CI: 23.0–40.4) untreated wastewater, 18.0% (95% CI: 9.5–28.2) treated wastewater, 15.0% (95% CI: 10.1–20.5) surface water, 2.3% (95% CI: 0.1–6.0) in groundwater, 0.3% (95% CI: 0.0–1.7) in drinking water, and 8.5% (95% CI: 3.1–15.6) in other matrices. The prevalence was higher in low-income economies (29.0%). Africa and Eastern Mediterranean were the regions with higher HAV prevalence values. This study showed a high heterogeneity (I2 &gt; 75%) with a significant publication bias (p value Egger test &lt; 0.001). The results of this review suggest that water matrices could be an important route of HAV transmission even in industrialized countries, despite the lower prevalence compared to less industrialized countries, and the availability of advanced water management systems. More effective water/wastewater treatment strategies are needed in developing countries to limit the environmental circulation of HAV.","container-title":"International Journal of Environmental Research and Public Health","DOI":"10.3390/ijerph2</w:instrText>
      </w:r>
      <w:r w:rsidR="008D3AF0" w:rsidRPr="00EF5168">
        <w:rPr>
          <w:lang w:val="en-GB"/>
        </w:rPr>
        <w:instrText xml:space="preserve">0021054","ISSN":"1660-4601","issue":"2","journalAbbreviation":"IJERPH","language":"en","license":"https://creativecommons.org/licenses/by/4.0/","page":"1054","source":"DOI.org (Crossref)","title":"Occurrence of Hepatitis A Virus in Water Matrices: A Systematic Review and Meta-Analysis","title-short":"Occurrence of Hepatitis A Virus in Water Matrices","volume":"20","author":[{"family":"Takuissu","given":"Guy Roussel"},{"family":"Kenmoe","given":"Sebastien"},{"family":"Ebogo-Belobo","given":"Jean Thierry"},{"family":"Kengne-Ndé","given":"Cyprien"},{"family":"Mbaga","given":"Donatien Serge"},{"family":"Bowo-Ngandji","given":"Arnol"},{"family":"Ndzie Ondigui","given":"Juliette Laure"},{"family":"Kenfack-Momo","given":"Raoul"},{"family":"Tchatchouang","given":"Serges"},{"family":"Kenfack-Zanguim","given":"Josiane"},{"family":"Lontuo Fogang","given":"Robertine"},{"family":"Zeuko’o Menkem","given":"Elisabeth"},{"family":"Kame-Ngasse","given":"Ginette Irma"},{"family":"Magoudjou-Pekam","given":"Jeannette Nina"},{"family":"Veneri","given":"Carolina"},{"family":"Mancini","given":"Pamela"},{"family":"Bonanno Ferraro","given":"Giusy"},{"family":"Iaconelli","given":"Marcello"},{"family":"Orlandi","given":"Lidia"},{"family":"Del Giudice","given":"Claudia"},{"family":"Suffredini","given":"Elisabetta"},{"family":"La Rosa","given":"Giuseppina"}],"issued":{"date-parts":[["2023",1,6]]}},"label":"page"}],"schema":"https://github.com/citation-style-language/schema/raw/master/csl-citation.json"} </w:instrText>
      </w:r>
      <w:r w:rsidR="008D3AF0" w:rsidRPr="00EF5168">
        <w:rPr>
          <w:lang w:val="it-IT"/>
        </w:rPr>
        <w:fldChar w:fldCharType="separate"/>
      </w:r>
      <w:r w:rsidR="008D3AF0" w:rsidRPr="00EF5168">
        <w:t>[10–12]</w:t>
      </w:r>
      <w:r w:rsidR="008D3AF0" w:rsidRPr="00EF5168">
        <w:rPr>
          <w:lang w:val="it-IT"/>
        </w:rPr>
        <w:fldChar w:fldCharType="end"/>
      </w:r>
      <w:r w:rsidR="008D3AF0" w:rsidRPr="00EF5168">
        <w:rPr>
          <w:lang w:val="en-GB"/>
        </w:rPr>
        <w:t>.</w:t>
      </w:r>
      <w:r w:rsidRPr="00EF5168">
        <w:rPr>
          <w:rFonts w:hint="eastAsia"/>
        </w:rPr>
        <w:t xml:space="preserve"> </w:t>
      </w:r>
    </w:p>
    <w:p w14:paraId="19407F51" w14:textId="1E4DA7C6" w:rsidR="007B1FFF" w:rsidRPr="00EF5168" w:rsidRDefault="00C443E7" w:rsidP="00EF5168">
      <w:pPr>
        <w:pStyle w:val="MDPI31text"/>
      </w:pPr>
      <w:r w:rsidRPr="00EF5168">
        <w:rPr>
          <w:rFonts w:hint="eastAsia"/>
        </w:rPr>
        <w:t>The gold standard for the quantitative detection of HAV in food and bottled water is reverse transcription-quantitative real-time PCR (RT-qPCR), supported by an internationally validated method (ISO 15216-1:2017)</w:t>
      </w:r>
      <w:r w:rsidR="008D3AF0" w:rsidRPr="00EF5168">
        <w:t xml:space="preserve"> </w:t>
      </w:r>
      <w:r w:rsidR="008D3AF0" w:rsidRPr="00EF5168">
        <w:fldChar w:fldCharType="begin"/>
      </w:r>
      <w:r w:rsidR="008D3AF0" w:rsidRPr="00EF5168">
        <w:instrText xml:space="preserve"> ADDIN ZOTERO_ITEM CSL_CITATION {"citationID":"1Sswa24O","properties":{"formattedCitation":"[13,14]","plainCitation":"[13,14]","noteIndex":0},"citationItems":[{"id":992,"uris":["http://zotero.org/users/local/n3CkrUVW/items/G3E52TRP"],"itemData":{"id":992,"type":"article-journal","abstract":"Hepatitis E virus (HEV) is one of the causative agents of water-borne human viral hepatitis and considered in Europe an emerging zoonotic pathogen. Analysis of bottled water through a standard method validated for HEV can contribute towards the risk management of this hazard. Putting some recent reports by the European Food Safety Authority in place, this study aimed to assess the performance of the concentration and extraction procedures described in ISO 15216-1:2017 for norovirus and hepatitis A virus on HEV detection. Following the ISO recommendation, the bottled water samples were spiked using serially diluted HEV fecal suspensions together with mengovirus as process control and concentrated by filtration via positively charged nylon membranes. In order to extract viral RNA from the resulting concentrates, two different methods were compared in this study: The one recommended in the ISO norm, NucliSens® MiniMag® system (NS), and an alternative commercially available kit NucleoSpin®RNA virus kit (MN). Finally, three reverse transcription quantitative PCR (RT-qPCR) assays were used to quantify HEV titers. The evaluated procedures resulted in average HEV recoveries of 14.08 ± 4.90% and 3.58 ± 0.30% for the MN and NS methods, respectively. The limit of detection (LoD95%) was 1.25 × 104 IU/L for both extraction methods combined with the three RT-qPCR assays tested, with the exception of NS extraction coupled with RT-qPCR1 that showed a LoD95% of 4.26 × 103 IU/L. The method characteristics generated in this study support the limited suitability of the ISO 15216-1:2017 concentration procedure coupled with the evaluated RT-qPCR assays for detecting HEV in bottled water.","container-title":"Microorganisms","DOI":"10.3390/microorganisms8050730","ISSN":"2076-2607","issue":"5","journalAbbreviation":"Microorganisms","language":"en","license":"https://creativecommons.org/licenses/by/4.0/","page":"730","source":"DOI.org (Crossref)","title":"Assessment of ISO Method 15216 to Quantify Hepatitis E Virus in Bottled Water","volume":"8","author":[{"family":"Cuevas-Ferrando","given":"Enric"},{"family":"Martínez-Murcia","given":"Antonio"},{"family":"Pérez-Cataluña","given":"Alba"},{"family":"Sánchez","given":"Gloria"},{"family":"Randazzo","given":"Walter"}],"issued":{"date-parts":[["2020",5,13]]}}},{"id":994,"uris":["http://zotero.org/users/local/n3CkrUVW/items/HZ88F9UF"],"itemData":{"id":994,"type":"article-journal","container-title":"LWT","DOI":"10.1016/j.lwt.2022.114172","ISSN":"00236438","journalAbbreviation":"LWT","language":"en","page":"114172","source":"DOI.org (Crossref)","title":"Development of a new concentration method for Hepatitis A virus detection (ISO 15216–2:2019) in Manila clams (Ruditapes philippinarum)","title-short":"Development of a new concentration method for Hepatitis A virus detection (ISO 15216–2","volume":"172","author":[{"family":"Wang","given":"Dianfu"},{"family":"Cao","given":"Jijuan"},{"family":"Tian","given":"Zhuo"},{"family":"Fang","given":"Baohai"},{"family":"Qi","given":"Xin"},{"family":"Lei","given":"Zhiwen"},{"family":"Liu","given":"Lei"},{"family":"Zhu","given":"Jinyan"},{"family":"Ma","given":"Lidan"}],"issued":{"date-parts":[["2022",12]]}}}],"schema":"https://github.com/citation-style-language/schema/raw/master/csl-citation.json"} </w:instrText>
      </w:r>
      <w:r w:rsidR="008D3AF0" w:rsidRPr="00EF5168">
        <w:fldChar w:fldCharType="separate"/>
      </w:r>
      <w:r w:rsidR="008D3AF0" w:rsidRPr="00EF5168">
        <w:t>[13,14]</w:t>
      </w:r>
      <w:r w:rsidR="008D3AF0" w:rsidRPr="00EF5168">
        <w:fldChar w:fldCharType="end"/>
      </w:r>
      <w:r w:rsidRPr="00EF5168">
        <w:rPr>
          <w:rFonts w:hint="eastAsia"/>
        </w:rPr>
        <w:t>. Howev</w:t>
      </w:r>
      <w:r w:rsidRPr="00EF5168">
        <w:t xml:space="preserve">er, while RT-qPCR and the more recent reverse transcription </w:t>
      </w:r>
      <w:r w:rsidR="00312FBA" w:rsidRPr="00EF5168">
        <w:t>digital PCR (RT-d</w:t>
      </w:r>
      <w:r w:rsidR="00467F02" w:rsidRPr="00EF5168">
        <w:t>PCR) –</w:t>
      </w:r>
      <w:r w:rsidRPr="00EF5168">
        <w:t xml:space="preserve"> which offers greater tolerance to inhib</w:t>
      </w:r>
      <w:r w:rsidR="00467F02" w:rsidRPr="00EF5168">
        <w:t xml:space="preserve">itors in food and water samples – </w:t>
      </w:r>
      <w:r w:rsidRPr="00EF5168">
        <w:t>are effective, these techniques have significant limitations</w:t>
      </w:r>
      <w:r w:rsidR="009C5272" w:rsidRPr="00EF5168">
        <w:t xml:space="preserve"> </w:t>
      </w:r>
      <w:r w:rsidR="009C5272" w:rsidRPr="00EF5168">
        <w:fldChar w:fldCharType="begin"/>
      </w:r>
      <w:r w:rsidR="009C5272" w:rsidRPr="00EF5168">
        <w:instrText xml:space="preserve"> ADDIN ZOTERO_ITEM CSL_CITATION {"citationID":"NNGux6VE","properties":{"formattedCitation":"[15]","plainCitation":"[15]","noteIndex":0},"citationItems":[{"id":582,"uris":["http://zotero.org/users/local/n3CkrUVW/items/MRE2I9CI"],"itemData":{"id":582,"type":"article-journal","container-title":"Talanta","DOI":"10.1016/j.talanta.2017.01.071","ISSN":"00399140","journalAbbreviation":"Talanta","language":"en","page":"321-327","source":"DOI.org (Crossref)","title":"ELIME assay vs Real-Time PCR and conventional culture method for an effective detection of Salmonella in fresh leafy green vegetables","volume":"166","author":[{"family":"Fabiani","given":"L."},{"family":"Pucci","given":"E."},{"family":"Delibato","given":"E."},{"family":"Volpe","given":"G."},{"family":"Piermarini","given":"S."},{"family":"De Medici","given":"D."},{"family":"Capuano","given":"F."},{"family":"Palleschi","given":"G."}],"issued":{"date-parts":[["2017",5]]}}}],"schema":"https://github.com/citation-style-language/schema/raw/master/csl-citation.json"} </w:instrText>
      </w:r>
      <w:r w:rsidR="009C5272" w:rsidRPr="00EF5168">
        <w:fldChar w:fldCharType="separate"/>
      </w:r>
      <w:r w:rsidR="009C5272" w:rsidRPr="00EF5168">
        <w:t>[15]</w:t>
      </w:r>
      <w:r w:rsidR="009C5272" w:rsidRPr="00EF5168">
        <w:fldChar w:fldCharType="end"/>
      </w:r>
      <w:r w:rsidRPr="00EF5168">
        <w:t>. The</w:t>
      </w:r>
      <w:r w:rsidR="00467F02" w:rsidRPr="00EF5168">
        <w:t>se molecular assays, indeed,</w:t>
      </w:r>
      <w:r w:rsidRPr="00EF5168">
        <w:t xml:space="preserve"> are labour-intensive</w:t>
      </w:r>
      <w:r w:rsidR="009F58FC" w:rsidRPr="00EF5168">
        <w:t xml:space="preserve"> and time-consuming as they </w:t>
      </w:r>
      <w:r w:rsidR="00894CE6" w:rsidRPr="00EF5168">
        <w:t xml:space="preserve">are associated to </w:t>
      </w:r>
      <w:r w:rsidR="00894CE6" w:rsidRPr="00EF5168">
        <w:rPr>
          <w:i/>
        </w:rPr>
        <w:t>ad hoc</w:t>
      </w:r>
      <w:r w:rsidR="00894CE6" w:rsidRPr="00EF5168">
        <w:t xml:space="preserve"> sample preparation procedures</w:t>
      </w:r>
      <w:r w:rsidRPr="00EF5168">
        <w:t>, require well-trained personnel</w:t>
      </w:r>
      <w:r w:rsidR="00CA215E" w:rsidRPr="00EF5168">
        <w:t xml:space="preserve"> with expertise in molecular biology</w:t>
      </w:r>
      <w:r w:rsidRPr="00EF5168">
        <w:t>, and necessitate specialized laboratory environments</w:t>
      </w:r>
      <w:r w:rsidR="00CA215E" w:rsidRPr="00EF5168">
        <w:t xml:space="preserve"> to </w:t>
      </w:r>
      <w:r w:rsidR="00091F44" w:rsidRPr="00EF5168">
        <w:t>minimize cross-contaminations and false-positive results</w:t>
      </w:r>
      <w:r w:rsidRPr="00EF5168">
        <w:t xml:space="preserve">, </w:t>
      </w:r>
      <w:r w:rsidR="00D60C35" w:rsidRPr="00EF5168">
        <w:t xml:space="preserve">hence </w:t>
      </w:r>
      <w:r w:rsidRPr="00EF5168">
        <w:t>restricting their use to well-equipped facilities</w:t>
      </w:r>
      <w:r w:rsidR="009C5272" w:rsidRPr="00EF5168">
        <w:t xml:space="preserve"> </w:t>
      </w:r>
      <w:r w:rsidR="009C5272" w:rsidRPr="00EF5168">
        <w:fldChar w:fldCharType="begin"/>
      </w:r>
      <w:r w:rsidR="009C5272" w:rsidRPr="00EF5168">
        <w:instrText xml:space="preserve"> ADDIN ZOTERO_ITEM CSL_CITATION {"citationID":"KUcXgz7r","properties":{"formattedCitation":"[16\\uc0\\u8211{}19]","plainCitation":"[16–19]","noteIndex":0},"citationItems":[{"id":977,"uris":["http://zotero.org/users/local/n3CkrUVW/items/W2MUK7JG"],"itemData":{"id":977,"type":"article-journal","abstract":"Many countries including EU Member States (EUMS) and the United States (U.S.) regularly monitor the microbial quality of bathing water to protect public health. This study comprehensively evaluates the EU bathing water directive (BWD) and the U.S. recreational water quality criteria (RWQC) as regulatory frameworks for monitoring microbial quality of bathing water. The major differences between these two regulatory frameworks are the provision of bathing water profiles, classification of bathing sites based on the pollution level, variations in the sampling frequency, accepted probable illness risk, epidemiological studies conducted during the development of guideline values, and monitoring methods. There are also similarities between the two approaches given that both enumerate viable fecal indicator bacteria (FIB) as an index of the potential risk to human health in bathing water and accept such risk up to a certain level. However, enumeration of FIB using methods outlined within these current regulatory frameworks does not consider the source of contamination nor variation in inactivation rates of enteric microbes in different ecological contexts, which is dependent on factors such as temperature, solar radiation, and salinity in various climatic regions within their geographical areas. A comprehensive “tool-box approach”, i.e., coupling of FIB and viral pathogen indicators with microbial source tracking for regulatory purposes, offers potential for delivering improved understanding to better protect the health of bathers.","container-title":"International Journal of Environmental Research and Public Health","DOI":"10.3390/ijerph18115513","ISSN":"1660-4601","issue":"11","journalAbbreviation":"IJERPH","language":"en","license":"https://creativecommons.org/licenses/by/4.0/","page":"5513","source":"DOI.org (Crossref)","title":"Bathing Water Quality Monitoring Practices in Europe and the United States","volume":"18","author":[{"family":"Tiwari","given":"Ananda"},{"family":"Oliver","given":"David M."},{"family":"Bivins","given":"Aaron"},{"family":"Sherchan","given":"Samendra P."},{"family":"Pitkänen","given":"Tarja"}],"issued":{"date-parts":[["2021",5,21]]}},"label":"page"},{"id":1001,"uris":["http://zotero.org/users/local/n3CkrUVW/items/6YG2E897"],"itemData":{"id":1001,"type":"article-journal","container-title":"Molecular Aspects of Medicine","DOI":"10.1016/j.mam.2005.12.001","ISSN":"00982997","issue":"2-3","journalAbbreviation":"Molecular Aspects of Medicine","language":"en","license":"https://www.elsevier.com/tdm/userlicense/1.0/","page":"254-298","source":"DOI.org (Crossref)","title":"Detection and monitoring of virus infections by real-time PCR","volume":"27","author":[{"family":"Watzinger","given":"F."},{"family":"Ebner","given":"K."},{"family":"Lion","given":"T."}],"issued":{"date-parts":[["2006",4]]}},"label":"page"},{"id":995,"uris":["http://zotero.org/users/local/n3CkrUVW/items/VNHGPFE9"],"itemData":{"id":995,"type":"article-journal","container-title":"Diagnostic Microbiology and Infectious Disease","DOI":"10.1016/j.diagmicrobio.2022.115677","ISSN":"07328893","issue":"2","journalAbbreviation":"Diagnostic Microbiology and Infectious Disease","language":"en","page":"115677","source":"DOI.org (Crossref)","title":"Comparison of reverse-transcription qPCR and droplet digital PCR for the detection of SARS-CoV-2 in clinical specimens of hospitalized patients","volume":"103","author":[{"family":"Li","given":"Jingyuan"},{"family":"Lin","given":"Weishi"},{"family":"Du","given":"Pibo"},{"family":"Liu","given":"Wei"},{"family":"Liu","given":"Xiong"},{"family":"Yang","given":"Chaojie"},{"family":"Jia","given":"Ruizhong"},{"family":"Wang","given":"Yong"},{"family":"Chen","given":"Yong"},{"family":"Jia","given":"Leili"},{"family":"Han","given":"Li"},{"family":"Tan","given":"Weilong"},{"family":"Liu","given":"Nan"},{"family":"Du","given":"Junjie"},{"family":"Ke","given":"Yuehua"},{"family":"Wang","given":"Changjun"}],"issued":{"date-parts":[["2022",6]]}},"label":"page"},{"id":998,"uris":["http://zotero.org/users/local/n3CkrUVW/items/6KA32SPJ"],"itemData":{"id":998,"type":"article-journal","container-title":"Frontiers in Microbiology","DOI":"10.3389/fmicb.2018.01973","ISSN":"1664-302X","journalAbbreviation":"Front. Microbiol.","page":"1973","source":"DOI.org (Crossref)","title":"Viability RT-qPCR to Distinguish Between HEV and HAV With Intact and Altered Capsids","volume":"9","author":[{"family":"Randazzo","given":"Walter"},{"family":"Vasquez-García","given":"Andrea"},{"family":"Aznar","given":"Rosa"},{"family":"Sánchez","given":"Gloria"}],"issued":{"date-parts":[["2018",8,24]]}},"label":"page"}],"schema":"https://github.com/citation-style-language/schema/raw/master/csl-citation.json"} </w:instrText>
      </w:r>
      <w:r w:rsidR="009C5272" w:rsidRPr="00EF5168">
        <w:fldChar w:fldCharType="separate"/>
      </w:r>
      <w:r w:rsidR="009C5272" w:rsidRPr="00EF5168">
        <w:t>[16–19]</w:t>
      </w:r>
      <w:r w:rsidR="009C5272" w:rsidRPr="00EF5168">
        <w:fldChar w:fldCharType="end"/>
      </w:r>
      <w:r w:rsidRPr="00EF5168">
        <w:t>. To address these limitations and the extended time required for these analyses, alternative methods have been developed, such as Enzyme-Linked Immunosorbent Assay (ELISA), which detect specific antigens through targeted antibodies</w:t>
      </w:r>
      <w:r w:rsidR="001052A1" w:rsidRPr="00EF5168">
        <w:t xml:space="preserve"> </w:t>
      </w:r>
      <w:r w:rsidR="001052A1" w:rsidRPr="00EF5168">
        <w:fldChar w:fldCharType="begin"/>
      </w:r>
      <w:r w:rsidR="001052A1" w:rsidRPr="00EF5168">
        <w:instrText xml:space="preserve"> ADDIN ZOTERO_ITEM CSL_CITATION {"citationID":"GxRgK52z","properties":{"formattedCitation":"[20\\uc0\\u8211{}22]","plainCitation":"[20–22]","noteIndex":0},"citationItems":[{"id":1012,"uris":["http://zotero.org/users/local/n3CkrUVW/items/YSFD9AIA"],"itemData":{"id":1012,"type":"article-journal","container-title":"Journal of Natural Medicines","DOI":"10.1007/s11418-017-1144-z","ISSN":"1340-3443, 1861-0293","issue":"1","journalAbbreviation":"J Nat Med","language":"en","page":"32-42","source":"DOI.org (Crossref)","title":"Enzyme-linked immunosorbent assay for the quantitative/qualitative analysis of plant secondary metabolites","volume":"72","author":[{"family":"Sakamoto","given":"Seiichi"},{"family":"Putalun","given":"Waraporn"},{"family":"Vimolmangkang","given":"Sornkanok"},{"family":"Phoolcharoen","given":"Waranyoo"},{"family":"Shoyama","given":"Yukihiro"},{"family":"Tanaka","given":"Hiroyuki"},{"family":"Morimoto","given":"Satoshi"}],"issued":{"date-parts":[["2018",1]]}}},{"id":1014,"uris":["http://zotero</w:instrText>
      </w:r>
      <w:r w:rsidR="001052A1" w:rsidRPr="00EF5168">
        <w:rPr>
          <w:rFonts w:hint="eastAsia"/>
        </w:rPr>
        <w:instrText>.org/users/local/n3CkrUVW/items/39Z7RFDZ"],"itemData":{"id":1014,"type":"article-journal","abstract":"Abstract\n            This unit describes six different ELISA systems for the detection of specific antibodies, soluble antigens, or cell‐surface antigens. In all six systems, soluble reactants are removed from solution after specifically binding to solid‐phase reactants. In the first four protocols, solid‐phase reactants are prepared by adsorbing an antigen or antibody onto plastic microtiter plates; in the next two protocols, the solid‐phase reactants are cell‐associated molecules. In all protocols, the solid‐phase reagents are incubated with secondary or tertiary reactants covalently coupled to an enzyme. Unbound conjugates are washed out and a chromog</w:instrText>
      </w:r>
      <w:r w:rsidR="001052A1" w:rsidRPr="00EF5168">
        <w:instrText>enic or fluorogenic substrate is added. As the substrate is hydrolyzed by the bound enzyme conjugate, a colored or fluorescent product is generated. Finally, the product is detected visually or with a microtiter plate reader. The amount of product generated is proportional to the amount of analysate in the test mixture. One of the support protocols can be used to optimize the different ELISAs. A second support protocol presents a method for preparing alkaline phosphatase conjugates. © 2015 by John Wiley &amp; Sons, Inc.","container-title":"Current Protocols in Immunology","DOI":"10.1002/0471142735.im0201s110","ISSN":"1934-3671, 1934-368X","issue":"1","journalAbbreviation":"CP in Immunology","language":"en","license":"http://onlinelibrary.wiley.com/termsAndCon</w:instrText>
      </w:r>
      <w:r w:rsidR="001052A1" w:rsidRPr="00EF5168">
        <w:rPr>
          <w:rFonts w:hint="eastAsia"/>
        </w:rPr>
        <w:instrText>ditions#vor","source":"DOI.org (Crossref)","title":"Enzyme‐Linked Immunosorbent Assays","URL":"https://currentprotocols.onlinelibrary.wiley.com/doi/10.1002/0471142735.im0201s110","volume":"110","author":[{"family":"Hornbeck","given":"Peter V."}],"accessed</w:instrText>
      </w:r>
      <w:r w:rsidR="001052A1" w:rsidRPr="00EF5168">
        <w:instrText xml:space="preserve">":{"date-parts":[["2024",6,21]]},"issued":{"date-parts":[["2015",8]]}}},{"id":1015,"uris":["http://zotero.org/users/local/n3CkrUVW/items/TVQ84ACX"],"itemData":{"id":1015,"type":"chapter","container-title":"Food Toxicants Analysis","ISBN":"978-0-444-52843-8","language":"en","license":"https://www.elsevier.com/tdm/userlicense/1.0/","note":"DOI: 10.1016/B978-044452843-8/50008-0","page":"189-229","publisher":"Elsevier","source":"DOI.org (Crossref)","title":"Analysis of food allergens. Practical applications","URL":"https://linkinghub.elsevier.com/retrieve/pii/B9780444528438500080","author":[{"family":"Van Hengel","given":"Arjon J."},{"family":"Anklam","given":"Elke"},{"family":"Taylor","given":"Steve L."},{"family":"Hefle","given":"Sue L."}],"accessed":{"date-parts":[["2024",6,21]]},"issued":{"date-parts":[["2007"]]}}}],"schema":"https://github.com/citation-style-language/schema/raw/master/csl-citation.json"} </w:instrText>
      </w:r>
      <w:r w:rsidR="001052A1" w:rsidRPr="00EF5168">
        <w:fldChar w:fldCharType="separate"/>
      </w:r>
      <w:r w:rsidR="001052A1" w:rsidRPr="00EF5168">
        <w:t>[20–22]</w:t>
      </w:r>
      <w:r w:rsidR="001052A1" w:rsidRPr="00EF5168">
        <w:fldChar w:fldCharType="end"/>
      </w:r>
      <w:r w:rsidRPr="00EF5168">
        <w:t>. ELISA tests are generally more cost-effective than PCR, making them suitable for high-throughput screening and allowing for rapid testing of large sample numbers</w:t>
      </w:r>
      <w:r w:rsidR="009C5272" w:rsidRPr="00EF5168">
        <w:t xml:space="preserve"> </w:t>
      </w:r>
      <w:r w:rsidR="009C5272" w:rsidRPr="00EF5168">
        <w:fldChar w:fldCharType="begin"/>
      </w:r>
      <w:r w:rsidR="001052A1" w:rsidRPr="00EF5168">
        <w:instrText xml:space="preserve"> ADDIN ZOTERO_ITEM CSL_CITATION {"citationID":"w3YJPlxA","properties":{"formattedCitation":"[15,23]","plainCitation":"[15,23]","noteIndex":0},"citationItems":[{"id":582,"uris":["http://zotero.org/users/local/n3CkrUVW/items/MRE2I9CI"],"itemData":{"id":582,"type":"article-journal","container-title":"Talanta","DOI":"10.1016/j.talanta.2017.01.071","ISSN":"00399140","journalAbbreviation":"Talanta","language":"en","page":"321-327","source":"DOI.org (Crossref)","title":"ELIME assay vs Real-Time PCR and conventional culture method for an effective detection of Salmonella in fresh leafy green vegetables","volume":"166","author":[{"family":"Fabiani","given":"L."},{"family":"Pucci","given":"E."},{"family":"Delibato","given":"E."},{"family":"Volpe","given":"G."},{"family":"Piermarini","given":"S."},{"family":"De Medici","given":"D."},{"family":"Capuano","given":"F."},{"family":"Palleschi","given":"G."}],"issued":{"date-parts":[["2017",5]]}}},{"id":579,"uris":["http://zotero.org/users/local/n3CkrUVW/items/NBS4V4MG"],"itemData":{"id":579,"type":"article-journal","container-title":"The Journal of Molecular Diagnostics","DOI":"10.1016/j.jmoldx.2019.10.009","ISSN":"15251578","issue":"2","journalAbbreviation":"The Journal of Molecular Diagnostics","language":"en","page":"262-271","source":"DOI.org (Crossref)","title":"Development and Validation of a Novel and Rapid Molecular Detection Method for High-Risk Human Papillomavirus in Formalin-Fixed, Paraffin-Embedded Tumor Tissue","volume":"22","author":[{"family":"Mes","given":"Steven W."},{"family":"Heideman","given":"Daniëlle A.M."},{"family":"Bloemena","given":"Elisabeth"},{"family":"Brink","given":"Arjen"},{"family":"Bogaarts","given":"Martijn"},{"family":"Leemans","given":"C. René"},{"family":"Brakenhoff","given":"Ruud H."}],"issued":{"date-parts":[["2020",2]]}}}],"schema":"https://github.com/citation-style-language/schema/raw/master/csl-citation.json"} </w:instrText>
      </w:r>
      <w:r w:rsidR="009C5272" w:rsidRPr="00EF5168">
        <w:fldChar w:fldCharType="separate"/>
      </w:r>
      <w:r w:rsidR="001052A1" w:rsidRPr="00EF5168">
        <w:t>[15,23]</w:t>
      </w:r>
      <w:r w:rsidR="009C5272" w:rsidRPr="00EF5168">
        <w:fldChar w:fldCharType="end"/>
      </w:r>
      <w:r w:rsidRPr="00EF5168">
        <w:t>. Recent advancements have utilized magnetic beads modified with a secondary antibody to support the immunological reaction typical of ELISA, enhancing the method's efficiency even in complex matrices</w:t>
      </w:r>
      <w:r w:rsidR="002147AE" w:rsidRPr="00EF5168">
        <w:t xml:space="preserve"> </w:t>
      </w:r>
      <w:r w:rsidR="002147AE" w:rsidRPr="00EF5168">
        <w:fldChar w:fldCharType="begin"/>
      </w:r>
      <w:r w:rsidR="001052A1" w:rsidRPr="00EF5168">
        <w:instrText xml:space="preserve"> ADDIN ZOTERO_ITEM CSL_CITATION {"citationID":"PX8qDH14","properties":{"formattedCitation":"[24]","plainCitation":"[24]","noteIndex":0},"citationItems":[{"id":1006,"uris":["http://zotero.org/users/local/n3CkrUVW/items/M9E8V6PA"],"itemData":{"id":1006,"type":"article-journal","container-title":"Analytica Chimica Acta","DOI":"10.1016/j.aca.2022.340246","ISSN":"00032670","journalAbbreviation":"Analytica Chimica Acta","language":"en","page":"340246","source":"DOI.org (Crossref)","title":"Rapid magneto-enzyme-linked immunosorbent assay for ultrasensitive protein detection","volume":"1225","author":[{"family":"Singampalli","given":"Kavya L."},{"family":"Li","given":"Jiran"},{"family":"Lillehoj","given":"Peter B."}],"issued":{"date-parts":[["2022",9]]}}}],"schema":"https://github.com/citation-style-language/schema/raw/master/csl-citation.json"} </w:instrText>
      </w:r>
      <w:r w:rsidR="002147AE" w:rsidRPr="00EF5168">
        <w:fldChar w:fldCharType="separate"/>
      </w:r>
      <w:r w:rsidR="001052A1" w:rsidRPr="00EF5168">
        <w:t>[24]</w:t>
      </w:r>
      <w:r w:rsidR="002147AE" w:rsidRPr="00EF5168">
        <w:fldChar w:fldCharType="end"/>
      </w:r>
      <w:r w:rsidRPr="00EF5168">
        <w:t>. Compared to traditional ELISA, the ELIME</w:t>
      </w:r>
      <w:r w:rsidRPr="00EF5168">
        <w:rPr>
          <w:rFonts w:hint="eastAsia"/>
        </w:rPr>
        <w:t xml:space="preserve"> (Enzyme-Linked Immunosorbent Magnetoelectrochemical) method offers a larger surface-to-volume ratio due to magnetic particles and improved sensitivity of electrochemical detection over spectrophotometric analysis</w:t>
      </w:r>
      <w:r w:rsidR="002147AE" w:rsidRPr="00EF5168">
        <w:rPr>
          <w:lang w:val="en-GB"/>
        </w:rPr>
        <w:t xml:space="preserve"> </w:t>
      </w:r>
      <w:r w:rsidR="002147AE" w:rsidRPr="00EF5168">
        <w:rPr>
          <w:lang w:val="it-IT"/>
        </w:rPr>
        <w:fldChar w:fldCharType="begin"/>
      </w:r>
      <w:r w:rsidR="001052A1" w:rsidRPr="00EF5168">
        <w:rPr>
          <w:lang w:val="en-GB"/>
        </w:rPr>
        <w:instrText xml:space="preserve"> ADDIN ZOTERO_ITEM CSL_CITATION {"citationID":"CmI9F5l7","properties":{"formattedCitation":"[25\\uc0\\u8211{}27]","plainCitation":"[25–27]","noteIndex":0},"citationItems":[{"id":1008,"uris":["http://zotero.org/users/local/n3CkrUVW/items/LN3ZLKW3"],"itemData":{"id":1008,"type":"article-journal","container-title":"Journal of Agricultural and Food Chemistry","DOI":"10.1021/jf901181m","ISSN":"0021-8561, 1520-5118","issue":"16","journalAbbreviation":"J. Agric. Food Chem.","language":"en","page":"7200-7204","source":"DOI.org (Crossref)","title":"Development and Application of an Electrochemical Plate Coupled with Immunomagnetic Beads (ELIME) Array for Salmonella enterica Detection in Meat Samples","volume":"57","author":[{"family":"Delibato","given":"Elisabetta"},{"family":"Volpe","given":"Giulia"},{"family":"Romanazzo","given":"Daniela"},{"family":"De Medici","given":"Dario"},{"family":"Toti","given":"Laura"},{"family":"Moscone","given":"Danila"},{"family":"Palleschi","given":"Giuseppe"}],"issued":{"date-parts":[["2009",8,26]]}}},{"id":1016,"uris":["http://zotero.org/users/local/n3CkrUVW/items/9TSBFP7I"],"itemData":{"id":1016,"type":"article-journal","container-title":"Food Analytical Methods","DOI":"10.1007/s12161-020-01758-8","ISSN":"1936-9751, 1936-976X","issue":"6","journalAbbreviation":"Food Anal. Methods","language":"en","page":"1366-1370","source":"DOI.org (Crossref)","title":"A Rapid Enzyme-Linked Immunomagnetic Electrochemical (ELIME) Assay for the Detection of Escherichia coli O26 in Raw Milk","volume":"13","author":[{"family":"Corradini","given":"Alessandra"},{"family":"Cecchini","given":"Matilde"},{"family":"Trevisani","given":"Marcello"}],"issued":{"date-parts":[["2020",6]]}}},{"id":1017,"uris":["http://zotero.org/users/local/n3CkrUVW/items/L3BEUAKI"],"itemData":{"id":1017,"type":"article-journal","container-title":"Sensors and Actuators B: Chemical","DOI":"10.1016/j.snb.2019.03.140","ISSN":"09254005","journalAbbreviation":"Sensors and Actuators B: Chemical","language":"en","page":"318-325","source":"DOI.org (Crossref)","title":"Development of a sandwich ELIME assay exploiting different antibody combinations as sensing strategy for an early detection of Campylobacter","volume":"290","author":[{"family":"Fabiani","given":"L."},{"family":"Delibato","given":"E."},{"family":"Volpe","given":"G."},{"family":"Piermarini","given":"S."},{"family":"De Medici","given":"D."},{"family":"Palleschi","given":"G."}],"issued":{"date-parts":[["2019",7]]}}}],"schema":"https://github.com/citation-style-language/schema/raw/master/csl-citation.json"} </w:instrText>
      </w:r>
      <w:r w:rsidR="002147AE" w:rsidRPr="00EF5168">
        <w:rPr>
          <w:lang w:val="it-IT"/>
        </w:rPr>
        <w:fldChar w:fldCharType="separate"/>
      </w:r>
      <w:r w:rsidR="001052A1" w:rsidRPr="00EF5168">
        <w:t>[25–27]</w:t>
      </w:r>
      <w:r w:rsidR="002147AE" w:rsidRPr="00EF5168">
        <w:rPr>
          <w:lang w:val="it-IT"/>
        </w:rPr>
        <w:fldChar w:fldCharType="end"/>
      </w:r>
      <w:r w:rsidRPr="00EF5168">
        <w:rPr>
          <w:rFonts w:hint="eastAsia"/>
        </w:rPr>
        <w:t xml:space="preserve">. </w:t>
      </w:r>
    </w:p>
    <w:p w14:paraId="46C34DD0" w14:textId="4260DE64" w:rsidR="008842B9" w:rsidRPr="00EF5168" w:rsidRDefault="00C443E7" w:rsidP="00EF5168">
      <w:pPr>
        <w:pStyle w:val="MDPI31text"/>
      </w:pPr>
      <w:r w:rsidRPr="00EF5168">
        <w:rPr>
          <w:rFonts w:hint="eastAsia"/>
        </w:rPr>
        <w:t>This study highlights the advanta</w:t>
      </w:r>
      <w:r w:rsidRPr="00EF5168">
        <w:t>ges of ELIME over PCR and ELISA, demonstrating the sensitivity and reliability of the electrochemical sandwich ELIME technique, which employs commercially preactivated magnetic beads for HAV detection in processing water samples</w:t>
      </w:r>
      <w:r w:rsidR="002147AE" w:rsidRPr="00EF5168">
        <w:t xml:space="preserve"> </w:t>
      </w:r>
      <w:r w:rsidR="002147AE" w:rsidRPr="00EF5168">
        <w:fldChar w:fldCharType="begin"/>
      </w:r>
      <w:r w:rsidR="001052A1" w:rsidRPr="00EF5168">
        <w:instrText xml:space="preserve"> ADDIN ZOTERO_ITEM CSL_CITATION {"citationID":"xuG1jCVt","properties":{"formattedCitation":"[28]","plainCitation":"[28]","noteIndex":0},"citationItems":[{"id":131,"uris":["http://zotero.org/users/local/n3CkrUVW/items/GRBPPL83"],"itemData":{"id":131,"type":"article-journal","abstract":"An Enzyme Linked ImmunoMagnetic Electrochemical assay (ELIME) was developed for the detection of the hepatitis A virus (HAV). This system is based on the use of new polydopamine-modified magnetic nanobeads as solid support for the immunochemical chain, and an array of 8 screen-printed electrodes as a sensing platform. Enzymatic-by-product is quickly measured by differential pulse voltammetry. For this purpose, all analytical parameters were optimized; in particular, different blocking reagents were evaluated in order to minimize the nonspecific interaction of bioreagents. Using the ELIME assays, a quantitative determination of HAV can be achieved with a detection limit of 1·10−11 IU mL−1 and a working range between 10−10 – 5 × 10−7 IU mL−1. The cross-reactivity of the commercial monoclonal antibodies against HAV used in ELIME assays was tested for Coxsackie B4, resulting very low. The sensitivity was also investigated and compared with spectrophotometric sandwich ELISA. The average relative standard deviation (RSD) of the ELIME method was less than 5% for the assays performed on the same day, and 7% for the measurements made on different days. The proposed system was applied to the cell culture of HAV, which title was quantified by Real-Time Quantitative Reverse Transcription PCR (RT¬qPCR). To compare the results, a correlation between the units used in ELIME (IU mL−1) and those used in RT¬qPCR (genome mL−1) was established using a HAV-positive sample, resulting in 1 IU mL−1–10−4 gen mL−1 (R2 = 0.978). The ELIME tool exhibits good stability and high biological selectivity for HAV antigen detection and was successfully applied for the determination of HAV in tap water.","container-title":"Talanta","DOI":"10.1016/j.talanta.2021.122672","ISSN":"0039-9140","journalAbbreviation":"Talanta","page":"122672","title":"An ELIME assay for hepatitis A virus detection","volume":"234","author":[{"family":"Micheli","given":"Laura"},{"family":"Fasoli","given":"Andrea"},{"family":"Attar","given":"Aisha"},{"family":"Donia","given":"Domenica T."},{"family":"Divizia","given":"Maurizio"},{"family":"Amine","given":"Aziz"},{"family":"Palleschi","given":"Giuseppe"},{"family":"Salazar Carballo","given":"Pedro A."},{"family":"Moscone","given":"Danila"}],"issued":{"date-parts":[["2021",11,1]]}}}],"schema":"https://github.com/citation-style-language/schema/raw/master/csl-citation.json"} </w:instrText>
      </w:r>
      <w:r w:rsidR="002147AE" w:rsidRPr="00EF5168">
        <w:fldChar w:fldCharType="separate"/>
      </w:r>
      <w:r w:rsidR="001052A1" w:rsidRPr="00EF5168">
        <w:t>[28]</w:t>
      </w:r>
      <w:r w:rsidR="002147AE" w:rsidRPr="00EF5168">
        <w:fldChar w:fldCharType="end"/>
      </w:r>
      <w:r w:rsidRPr="00EF5168">
        <w:t>. Our findings reveal significant benefits of this method compared to the real-time RT-qPCR protocol outlined in ISO 15216-1</w:t>
      </w:r>
      <w:r w:rsidR="002147AE" w:rsidRPr="00EF5168">
        <w:t xml:space="preserve"> </w:t>
      </w:r>
      <w:r w:rsidR="002147AE" w:rsidRPr="00EF5168">
        <w:fldChar w:fldCharType="begin"/>
      </w:r>
      <w:r w:rsidR="001052A1" w:rsidRPr="00EF5168">
        <w:instrText xml:space="preserve"> ADDIN ZOTERO_ITEM CSL_CITATION {"citationID":"6s9Rw1lM","properties":{"formattedCitation":"[29]","plainCitation":"[29]","noteIndex":0},"citationItems":[{"id":1010,"uris":["http://zotero.org/users/local/n3CkrUVW/items/2PZQEG2Y"],"itemData":{"id":1010,"type":"article-journal","container-title":"PLOS ONE","DOI":"10.1371/journal.pone.0160825","ISSN":"1932-6203","issue":"8","journalAbbreviation":"PLoS ONE","language":"en","page":"e0160825","source":"DOI.org (Crossref)","title":"Comparative Evaluation of Real-Time PCR Methods for Human Noroviruses in Wastewater and Human Stool","volume":"11","author":[{"family":"Masago","given":"Yoshifumi"},{"family":"Konta","given":"Yoshimitsu"},{"family":"Kazama","given":"Shinobu"},{"family":"Inaba","given":"Manami"},{"family":"Imagawa","given":"Toshifumi"},{"family":"Tohma","given":"Kentaro"},{"family":"Saito","given":"Mayuko"},{"family":"Suzuki","given":"Akira"},{"family":"Oshitani","given":"Hitoshi"},{"family":"Omura","given":"Tatsuo"}],"editor":[{"family":"Galdiero","given":"Massimiliano"}],"issued":{"date-parts":[["2016",8,15]]}}}],"schema":"https://github.com/citation-style-language/schema/raw/master/csl-citation.json"} </w:instrText>
      </w:r>
      <w:r w:rsidR="002147AE" w:rsidRPr="00EF5168">
        <w:fldChar w:fldCharType="separate"/>
      </w:r>
      <w:r w:rsidR="001052A1" w:rsidRPr="00EF5168">
        <w:t>[29]</w:t>
      </w:r>
      <w:r w:rsidR="002147AE" w:rsidRPr="00EF5168">
        <w:fldChar w:fldCharType="end"/>
      </w:r>
      <w:r w:rsidRPr="00EF5168">
        <w:t>, presenting promising results in analytical performance comparisons.</w:t>
      </w:r>
    </w:p>
    <w:p w14:paraId="4D8D0AC4" w14:textId="2043C649" w:rsidR="00936915" w:rsidRPr="00EF5168" w:rsidRDefault="00EF5168" w:rsidP="00EF5168">
      <w:pPr>
        <w:pStyle w:val="MDPI21heading1"/>
      </w:pPr>
      <w:r w:rsidRPr="00EF5168">
        <w:rPr>
          <w:lang w:eastAsia="zh-CN"/>
        </w:rPr>
        <w:t xml:space="preserve">2. </w:t>
      </w:r>
      <w:r w:rsidR="00936915" w:rsidRPr="00EF5168">
        <w:t>Materials and Methods</w:t>
      </w:r>
    </w:p>
    <w:p w14:paraId="36E2D1C0" w14:textId="5855B78D" w:rsidR="004676D7" w:rsidRPr="00EF5168" w:rsidRDefault="00EF5168" w:rsidP="00EF5168">
      <w:pPr>
        <w:pStyle w:val="MDPI22heading2"/>
      </w:pPr>
      <w:r w:rsidRPr="00EF5168">
        <w:t xml:space="preserve">2.1. </w:t>
      </w:r>
      <w:r w:rsidR="004676D7" w:rsidRPr="00EF5168">
        <w:t xml:space="preserve">Reagents </w:t>
      </w:r>
    </w:p>
    <w:p w14:paraId="6EA23DEC" w14:textId="0E4D367C" w:rsidR="004676D7" w:rsidRPr="00EF5168" w:rsidRDefault="004676D7" w:rsidP="00EF5168">
      <w:pPr>
        <w:pStyle w:val="MDPI31text"/>
        <w:rPr>
          <w:b/>
        </w:rPr>
      </w:pPr>
      <w:r w:rsidRPr="00EF5168">
        <w:t>Unless otherwise specified, chemical reagents were obtained from Merck® (Italy). Goat Anti-Mouse IgG magnetic beads were purchased from New England BioLabs® (UK) and stored at +4 °C. Anti-Mouse IgG is covalently coupled to a 1 μm nanoporous paramagnetic microparticle; 1 mL suspension in PBS Buffer (pH 7.4), 0.05% Tween 20, 0.1% BSA and 0.05% NaN3 contains 3.65×10</w:t>
      </w:r>
      <w:r w:rsidRPr="00EF5168">
        <w:rPr>
          <w:vertAlign w:val="superscript"/>
        </w:rPr>
        <w:t>10</w:t>
      </w:r>
      <w:r w:rsidRPr="00EF5168">
        <w:t xml:space="preserve"> particles. Primary Monoclonal Hepatitis A Virus Antibody (MAbI) clone M5112922 used in this study was provided by Fitzgerald® (USA), 1000 μg/mL in 10 mM PBS, pH 7.2, with 0.1% NaN</w:t>
      </w:r>
      <w:r w:rsidRPr="00EF5168">
        <w:rPr>
          <w:vertAlign w:val="subscript"/>
        </w:rPr>
        <w:t>3</w:t>
      </w:r>
      <w:r w:rsidRPr="00EF5168">
        <w:t>, whereas Primary Monoclonal Hepatitis A Virus Antibody labelled with Alkaline Phosphatase (MAbI-AP) clone 7E7 was supplied by Pantec® (Italy) in 10 mM PBS, pH 7.2, with 0.1% NaN</w:t>
      </w:r>
      <w:r w:rsidRPr="00EF5168">
        <w:rPr>
          <w:vertAlign w:val="subscript"/>
        </w:rPr>
        <w:t>3</w:t>
      </w:r>
      <w:r w:rsidRPr="00EF5168">
        <w:t xml:space="preserve">. Both Ab were stored at -20°C. </w:t>
      </w:r>
      <w:r w:rsidR="003F07DC" w:rsidRPr="00EF5168">
        <w:t>The v</w:t>
      </w:r>
      <w:r w:rsidRPr="00EF5168">
        <w:t xml:space="preserve">iral Standard for Hepatitis A virus was purchased from Mediagnost® (Germany). Information provided by the supplier, concerning the amount of HAV virus in the </w:t>
      </w:r>
      <w:r w:rsidRPr="00EF5168">
        <w:lastRenderedPageBreak/>
        <w:t>sample, indicated that the suspension contained 4.8×10</w:t>
      </w:r>
      <w:r w:rsidRPr="00EF5168">
        <w:rPr>
          <w:vertAlign w:val="superscript"/>
        </w:rPr>
        <w:t>6</w:t>
      </w:r>
      <w:r w:rsidRPr="00EF5168">
        <w:t xml:space="preserve"> genome copies (g.c.)/</w:t>
      </w:r>
      <w:r w:rsidR="005F0C9A" w:rsidRPr="00EF5168">
        <w:t>mL (measured by real-time RT-q</w:t>
      </w:r>
      <w:r w:rsidRPr="00EF5168">
        <w:t>PCR</w:t>
      </w:r>
      <w:r w:rsidR="005F0C9A" w:rsidRPr="00EF5168">
        <w:t xml:space="preserve"> according to ISO 15216-1:2017</w:t>
      </w:r>
      <w:r w:rsidRPr="00EF5168">
        <w:t>),</w:t>
      </w:r>
      <w:r w:rsidR="00B87E60" w:rsidRPr="00EF5168">
        <w:t xml:space="preserve"> and</w:t>
      </w:r>
      <w:r w:rsidRPr="00EF5168">
        <w:t xml:space="preserve"> 100 International Unit (UI)/mL. Hepatitis A virus strain HM175/18f (American Type Culture Collection, ATCC VR-1402), used for </w:t>
      </w:r>
      <w:r w:rsidR="003F07DC" w:rsidRPr="00EF5168">
        <w:t xml:space="preserve">spiking </w:t>
      </w:r>
      <w:r w:rsidRPr="00EF5168">
        <w:t xml:space="preserve">drinking water samples, was provided </w:t>
      </w:r>
      <w:r w:rsidR="003F07DC" w:rsidRPr="00EF5168">
        <w:t xml:space="preserve">by the </w:t>
      </w:r>
      <w:r w:rsidRPr="00EF5168">
        <w:t xml:space="preserve">Istituto Superiore di Sanità (ISS) </w:t>
      </w:r>
      <w:r w:rsidR="003F07DC" w:rsidRPr="00EF5168">
        <w:t>at</w:t>
      </w:r>
      <w:r w:rsidRPr="00EF5168">
        <w:t xml:space="preserve"> concentration of 7.5×10</w:t>
      </w:r>
      <w:r w:rsidRPr="00EF5168">
        <w:rPr>
          <w:vertAlign w:val="superscript"/>
        </w:rPr>
        <w:t>8</w:t>
      </w:r>
      <w:r w:rsidRPr="00EF5168">
        <w:t xml:space="preserve"> g.c</w:t>
      </w:r>
      <w:r w:rsidR="005F0C9A" w:rsidRPr="00EF5168">
        <w:t>./mL (measured by real-time RT-q</w:t>
      </w:r>
      <w:r w:rsidRPr="00EF5168">
        <w:t>PCR)</w:t>
      </w:r>
      <w:r w:rsidR="00B87E60" w:rsidRPr="00EF5168">
        <w:t>.</w:t>
      </w:r>
      <w:r w:rsidRPr="00EF5168">
        <w:t xml:space="preserve"> All stocks of HAV were stored in aliquots at -20 °C or below until use. The buffers used for </w:t>
      </w:r>
      <w:r w:rsidR="003F07DC" w:rsidRPr="00EF5168">
        <w:t xml:space="preserve">the </w:t>
      </w:r>
      <w:r w:rsidRPr="00EF5168">
        <w:t>experiments were the following:</w:t>
      </w:r>
      <w:r w:rsidR="00114C41" w:rsidRPr="00EF5168">
        <w:t xml:space="preserve"> </w:t>
      </w:r>
      <w:r w:rsidRPr="00EF5168">
        <w:t>Solution A (washing magnetic beads solution): 50 mM sodium phosphate buffer (PB) pH 7.4 containing 100 mM KCl and 0.05% (v/v) of Tween 20;</w:t>
      </w:r>
      <w:r w:rsidR="00114C41" w:rsidRPr="00EF5168">
        <w:t xml:space="preserve"> </w:t>
      </w:r>
      <w:r w:rsidRPr="00EF5168">
        <w:t>Solution B (store magnetic beads solution): 50 mM PB buffer pH 7.4 containing 0.1% BSA and 0.02% NaN</w:t>
      </w:r>
      <w:r w:rsidRPr="00EF5168">
        <w:rPr>
          <w:vertAlign w:val="subscript"/>
        </w:rPr>
        <w:t>3</w:t>
      </w:r>
      <w:r w:rsidR="002F2B7C" w:rsidRPr="00EF5168">
        <w:t>;</w:t>
      </w:r>
      <w:r w:rsidR="00114C41" w:rsidRPr="00EF5168">
        <w:t xml:space="preserve"> </w:t>
      </w:r>
      <w:r w:rsidRPr="00EF5168">
        <w:t>Solution C (extraction solution): 100 mM Tris, 50 mM Gly and 0.1% of Beef Extract pH 9.5 (TGBE buffer).</w:t>
      </w:r>
    </w:p>
    <w:p w14:paraId="612E69CA" w14:textId="5B4362D1" w:rsidR="00797E01" w:rsidRPr="00EF5168" w:rsidRDefault="00EF5168" w:rsidP="00EF5168">
      <w:pPr>
        <w:pStyle w:val="MDPI22heading2"/>
        <w:spacing w:before="240"/>
      </w:pPr>
      <w:r w:rsidRPr="00EF5168">
        <w:t xml:space="preserve">2.2. </w:t>
      </w:r>
      <w:r w:rsidR="00797E01" w:rsidRPr="00EF5168">
        <w:t>Materials</w:t>
      </w:r>
    </w:p>
    <w:p w14:paraId="4C9D4951" w14:textId="2C41F0B0" w:rsidR="00797E01" w:rsidRPr="00EF5168" w:rsidRDefault="00EF5168" w:rsidP="00EF5168">
      <w:pPr>
        <w:pStyle w:val="MDPI23heading3"/>
      </w:pPr>
      <w:r w:rsidRPr="00EF5168">
        <w:t xml:space="preserve">2.2.1. </w:t>
      </w:r>
      <w:r w:rsidR="00797E01" w:rsidRPr="00EF5168">
        <w:t>Screen-printed electrodes (SPEs)</w:t>
      </w:r>
    </w:p>
    <w:p w14:paraId="49128796" w14:textId="1E700646" w:rsidR="00797E01" w:rsidRPr="00EF5168" w:rsidRDefault="00797E01" w:rsidP="003C0524">
      <w:pPr>
        <w:pStyle w:val="MDPI21heading1"/>
        <w:spacing w:before="0" w:after="0"/>
        <w:ind w:firstLine="425"/>
        <w:jc w:val="both"/>
        <w:rPr>
          <w:b w:val="0"/>
          <w:sz w:val="18"/>
          <w:szCs w:val="18"/>
        </w:rPr>
      </w:pPr>
      <w:r w:rsidRPr="00EF5168">
        <w:rPr>
          <w:b w:val="0"/>
          <w:sz w:val="18"/>
          <w:szCs w:val="18"/>
        </w:rPr>
        <w:t>Screen-printed electrodes were produced by a screen printer DEK 245 (DEK, Weymouth, UK) on polyvinyl chloride (PVC) strips with eight printed sensors each. The inks were from Acheson (Italy). The SPE includes three electrodes: graphite for working and counter electrodes and silver/silver chloride (Ag/AgCl) for the reference electrode. The diameter of the working electrode was 0.3 cm, with an apparent geometric area of 0.07 cm</w:t>
      </w:r>
      <w:r w:rsidRPr="00EF5168">
        <w:rPr>
          <w:b w:val="0"/>
          <w:sz w:val="18"/>
          <w:szCs w:val="18"/>
          <w:vertAlign w:val="superscript"/>
        </w:rPr>
        <w:t>2</w:t>
      </w:r>
      <w:r w:rsidR="00927B80" w:rsidRPr="00EF5168">
        <w:rPr>
          <w:b w:val="0"/>
          <w:sz w:val="18"/>
          <w:szCs w:val="18"/>
        </w:rPr>
        <w:t xml:space="preserve"> </w:t>
      </w:r>
      <w:r w:rsidR="00927B80" w:rsidRPr="00EF5168">
        <w:rPr>
          <w:b w:val="0"/>
          <w:sz w:val="18"/>
          <w:szCs w:val="18"/>
        </w:rPr>
        <w:fldChar w:fldCharType="begin"/>
      </w:r>
      <w:r w:rsidR="001052A1" w:rsidRPr="00EF5168">
        <w:rPr>
          <w:b w:val="0"/>
          <w:sz w:val="18"/>
          <w:szCs w:val="18"/>
        </w:rPr>
        <w:instrText xml:space="preserve"> ADDIN ZOTERO_ITEM CSL_CITATION {"citationID":"mSwTq6ZS","properties":{"formattedCitation":"[30,31]","plainCitation":"[30,31]","noteIndex":0},"citationItems":[{"id":451,"uris":["http://zotero.org/users/local/n3CkrUVW/items/VBWEFYFV"],"itemData":{"id":451,"type":"article-journal","container-title":"Microchemical Journal","DOI":"10.1016/j.microc.2023.108868","ISSN":"0026265X","journalAbbreviation":"Microchemical Journal","language":"en","page":"108868","source":"DOI.org (Crossref)","title":"Nafion-based label-free immunosensor as a reliable warning system: The case of AFB1 detection in cattle feed","title-short":"Nafion-based label-free immunosensor as a reliable warning system","volume":"191","author":[{"family":"Cancelliere","given":"Rocco"},{"family":"Di Tinno","given":"Alessio"},{"family":"Cataldo","given":"Antonino"},{"family":"Bellucci","given":"Stefano"},{"family":"Kumbhat","given":"Sunita"},{"family":"Micheli","given":"Laura"}],"issued":{"date-parts":[["2023",8]]}}},{"id":8,"uris":["http://zotero.org/users/local/n3CkrUVW/items/ZRGJXR82"],"itemData":{"id":8,"type":"article-journal","abstract":"A novel flow injection microfluidic immunoassay system for continuous monitoring of saxitoxin, a lethal biotoxin, in seawater samples is presented in this article. The system consists of a preimmobilized G protein immunoaffinity column connected in line with a lab-on-chip setup. The detection of saxitoxin in seawater was carried out in two steps: an offline incubation step (competition reaction) performed between the analyte of interest (saxitoxin or Ag, as standard or seawater sample) and a tracer (an enzyme-conjugated antigen or Ag*) toward a specific polyclonal antibody. Then, the mixture was injected through a “loop” of a few μL using a six-way injection valve into a bioreactor, in line with the valve. The bioreactor consisted of a small glass column, manually filled with resin upon which G protein has been immobilized. When the mixture flowed through the bioreactor, all the antibody-antigen complex, formed during the competition step, is retained by the G protein. The tracer molecules that do not interact with the capture antibody and protein G are eluted out of the column, collected, and mixed with an enzymatic substrate directly within the microfluidic chip, via the use of two peristaltic pumps. When Ag* was present, a color change (absorbance variation, ΔAbs) of the solution is detected at a fixed wavelength (655 nm) by an optical chip docking system and registered by a computer. The amount of saxitoxin, present in the sample (or standard), that generates the variation of the intensity of the color, will be directly proportional to the concentration of the analyte in the analyzed solution. Indeed, the absorbance response increased proportionally to the enzymatic product and to the concentration of saxitoxin in the range of 3.5 × 10\n              –7\n              –2 × 10\n              –5\n               ng ml\n              −1\n              with a detection limit of 1 × 10\n              –7\n               ng ml\n              −1\n              (RSD% 15, S N\n              −1\n              equal to 3). The immunoanalytical system has been characterized, optimized, and tested with seawater samples. This analytical approach, combined with the transportable and small-sized instrumentation, allows for easy\n              in situ\n              monitoring of marine water contaminations.","container-title":"Frontiers in Chemistry","DOI":"10.3389/fchem.2021.626630","ISSN":"2296-2646","journalAbbreviation":"Front. Chem.","page":"626630","source":"DOI.org (Crossref)","title":"Microfluidic Flow Injection Immunoassay System for Algal Toxins Determination: A Case of Study","title-short":"Microfluidic Flow Injection Immunoassay System for Algal Toxins Determination","volume":"9","author":[{"family":"Celio","given":"Lorenzo"},{"family":"Ottaviani","given":"Matteo"},{"family":"Cancelliere","given":"Rocco"},{"family":"Di Tinno","given":"Alessio"},{"family":"Panjan","given":"Peter"},{"family":"Sesay","given":"Adama Marie"},{"family":"Micheli","given":"Laura"}],"issued":{"date-parts":[["2021",3,4]]}}}],"schema":"https://github.com/citation-style-language/schema/raw/master/csl-citation.json"} </w:instrText>
      </w:r>
      <w:r w:rsidR="00927B80" w:rsidRPr="00EF5168">
        <w:rPr>
          <w:b w:val="0"/>
          <w:sz w:val="18"/>
          <w:szCs w:val="18"/>
        </w:rPr>
        <w:fldChar w:fldCharType="separate"/>
      </w:r>
      <w:r w:rsidR="001052A1" w:rsidRPr="00EF5168">
        <w:rPr>
          <w:b w:val="0"/>
          <w:sz w:val="18"/>
        </w:rPr>
        <w:t>[30,31]</w:t>
      </w:r>
      <w:r w:rsidR="00927B80" w:rsidRPr="00EF5168">
        <w:rPr>
          <w:b w:val="0"/>
          <w:sz w:val="18"/>
          <w:szCs w:val="18"/>
        </w:rPr>
        <w:fldChar w:fldCharType="end"/>
      </w:r>
      <w:r w:rsidRPr="00EF5168">
        <w:rPr>
          <w:b w:val="0"/>
          <w:sz w:val="18"/>
          <w:szCs w:val="18"/>
        </w:rPr>
        <w:t xml:space="preserve">. </w:t>
      </w:r>
    </w:p>
    <w:p w14:paraId="66E85331" w14:textId="00EA7125" w:rsidR="00797E01" w:rsidRPr="00EF5168" w:rsidRDefault="00EF5168" w:rsidP="00EF5168">
      <w:pPr>
        <w:pStyle w:val="MDPI23heading3"/>
        <w:spacing w:before="240"/>
      </w:pPr>
      <w:r w:rsidRPr="00EF5168">
        <w:t xml:space="preserve">2.2.2. </w:t>
      </w:r>
      <w:r w:rsidR="00797E01" w:rsidRPr="00EF5168">
        <w:t xml:space="preserve">Filters </w:t>
      </w:r>
    </w:p>
    <w:p w14:paraId="79CC6680" w14:textId="77777777" w:rsidR="00797E01" w:rsidRPr="00EF5168" w:rsidRDefault="00797E01" w:rsidP="00EF5168">
      <w:pPr>
        <w:pStyle w:val="MDPI31text"/>
        <w:rPr>
          <w:b/>
        </w:rPr>
      </w:pPr>
      <w:r w:rsidRPr="00EF5168">
        <w:t>Zeta Plus™ 1MDS discs (CUNO, 3M Company, USA), 47 mm, 0.45 μm pore size, were used in this study. Filters are characterized by an electropositive, charge-modified, cellulose medium double open-ended (flat nitrile gasket) configuration. The filters use electrokinetic adsorption to capture and concentrate waterborne viruses.</w:t>
      </w:r>
    </w:p>
    <w:p w14:paraId="31852553" w14:textId="7A867DDD" w:rsidR="00797E01" w:rsidRPr="00EF5168" w:rsidRDefault="00EF5168" w:rsidP="00EF5168">
      <w:pPr>
        <w:pStyle w:val="MDPI23heading3"/>
        <w:spacing w:before="240"/>
      </w:pPr>
      <w:r w:rsidRPr="00EF5168">
        <w:t xml:space="preserve">2.2.3. </w:t>
      </w:r>
      <w:r w:rsidR="00797E01" w:rsidRPr="00EF5168">
        <w:t>Instrumentations</w:t>
      </w:r>
    </w:p>
    <w:p w14:paraId="5BF5BF7C" w14:textId="77777777" w:rsidR="00797E01" w:rsidRPr="00EF5168" w:rsidRDefault="00797E01" w:rsidP="00EF5168">
      <w:pPr>
        <w:pStyle w:val="MDPI31text"/>
        <w:rPr>
          <w:b/>
        </w:rPr>
      </w:pPr>
      <w:r w:rsidRPr="00EF5168">
        <w:t>Electrochemical measurements were performed at room temperature, using a computer-controlled system, AUTOLAB model GPSTAT-12 with GPES software (Ecochemie, Utrecht, The Netherlands). Differential pulse voltammetry (DPV) measurements were carried out in the potential range from 0-600 mV with a pulse width of 50 ms, a pulse amplitude of 70 mV and a scan speed of 100 mV/s.</w:t>
      </w:r>
    </w:p>
    <w:p w14:paraId="7DBFEC2F" w14:textId="780D1B49" w:rsidR="00797E01" w:rsidRPr="00EF5168" w:rsidRDefault="00EF5168" w:rsidP="00EF5168">
      <w:pPr>
        <w:pStyle w:val="MDPI22heading2"/>
        <w:spacing w:before="240"/>
      </w:pPr>
      <w:r w:rsidRPr="00EF5168">
        <w:t xml:space="preserve">2.3. </w:t>
      </w:r>
      <w:r w:rsidR="00797E01" w:rsidRPr="00EF5168">
        <w:t>Methods</w:t>
      </w:r>
    </w:p>
    <w:p w14:paraId="46D4B5BE" w14:textId="76E394EA" w:rsidR="00797E01" w:rsidRPr="00EF5168" w:rsidRDefault="00EF5168" w:rsidP="00EF5168">
      <w:pPr>
        <w:pStyle w:val="MDPI23heading3"/>
      </w:pPr>
      <w:r w:rsidRPr="00EF5168">
        <w:t xml:space="preserve">2.3.1. </w:t>
      </w:r>
      <w:r w:rsidR="00797E01" w:rsidRPr="00EF5168">
        <w:t>ELIME assay</w:t>
      </w:r>
    </w:p>
    <w:p w14:paraId="694D1ECD" w14:textId="77A64550" w:rsidR="00692553" w:rsidRPr="00EF5168" w:rsidRDefault="00797E01" w:rsidP="00EF5168">
      <w:pPr>
        <w:pStyle w:val="MDPI31text"/>
        <w:rPr>
          <w:b/>
        </w:rPr>
      </w:pPr>
      <w:r w:rsidRPr="00EF5168">
        <w:t xml:space="preserve">In this work, an Enzyme-Linked Immuno-Magnetic Electrochemical assay (ELIME), with a sandwich format, </w:t>
      </w:r>
      <w:r w:rsidR="00C76F11" w:rsidRPr="00EF5168">
        <w:t>was</w:t>
      </w:r>
      <w:r w:rsidRPr="00EF5168">
        <w:t xml:space="preserve"> developed. Goat Anti-Mouse IgG magnetic beads (10 μL) were first washed twice in 50 mM PBS pH 7.4 by using an external magnet to allow easy separation. They were coated</w:t>
      </w:r>
      <w:r w:rsidR="000C114D" w:rsidRPr="00EF5168">
        <w:t>,</w:t>
      </w:r>
      <w:r w:rsidRPr="00EF5168">
        <w:t xml:space="preserve"> then</w:t>
      </w:r>
      <w:r w:rsidR="000C114D" w:rsidRPr="00EF5168">
        <w:t>,</w:t>
      </w:r>
      <w:r w:rsidRPr="00EF5168">
        <w:t xml:space="preserve"> with Primary Monoclonal Hepatitis A Virus Antibody (MAbI) in 50 mM carbonate buffer pH 9.6, shak</w:t>
      </w:r>
      <w:r w:rsidR="009F01E6" w:rsidRPr="00EF5168">
        <w:t xml:space="preserve">ing </w:t>
      </w:r>
      <w:r w:rsidRPr="00EF5168">
        <w:t xml:space="preserve">or 45 minutes at room temperature, separated with the magnet and washed again twice with Solution A. The coated beads were resuspended in 3% BSA in 50 mM carbonate buffer pH 9.6, shaking for 45 minutes at room temperature, washed again twice with Solution A and resuspended in Solution B. The beads were stored at +4 °C overnight, separated and washed twice with Solution A. HAV in 50 mM PBS pH 7.4 containing 0.1% BSA was added. After shaking for 45 minutes at room temperature, the beads were washed twice with Solution A. An alkaline phosphatase </w:t>
      </w:r>
      <w:r w:rsidR="00D2488B" w:rsidRPr="00EF5168">
        <w:t xml:space="preserve">(AP) </w:t>
      </w:r>
      <w:r w:rsidRPr="00EF5168">
        <w:t xml:space="preserve">labeled anti-HAV monoclonal antibody (MAb-AP) in 50 mM PBS pH 7.4 was used to complete the immunological chain constituted by HAV and MAbI, immobilized directly on the beads, to reveal the sandwich complex format. The beads were shaken for 45 minutes at room temperature, washed twice with Solution A and resuspended in 50 mM PBS pH 7.4. After the immunochemical steps, the beads were localized </w:t>
      </w:r>
      <w:r w:rsidRPr="00EF5168">
        <w:lastRenderedPageBreak/>
        <w:t>onto the surface of SPEs with the aid of a magnet. The enzyme-substrate 1-naphthyl-phosphate (1-NPP) in</w:t>
      </w:r>
      <w:r w:rsidR="00DA461D" w:rsidRPr="00EF5168">
        <w:t xml:space="preserve"> 0.97 diethanolamine (DEA) buffer pH 9.8 containing 1 mM MgCl</w:t>
      </w:r>
      <w:r w:rsidR="00DA461D" w:rsidRPr="00EF5168">
        <w:rPr>
          <w:vertAlign w:val="subscript"/>
        </w:rPr>
        <w:t>2</w:t>
      </w:r>
      <w:r w:rsidR="00DA461D" w:rsidRPr="00EF5168">
        <w:t xml:space="preserve"> and 100 mM KCl was added to measure</w:t>
      </w:r>
      <w:r w:rsidR="00AE44C8" w:rsidRPr="00EF5168">
        <w:t xml:space="preserve"> the electroactive product (Figure </w:t>
      </w:r>
      <w:r w:rsidR="00DA461D" w:rsidRPr="00EF5168">
        <w:t xml:space="preserve">1). </w:t>
      </w:r>
    </w:p>
    <w:p w14:paraId="4EA38413" w14:textId="03FCC416" w:rsidR="00692553" w:rsidRPr="00EF5168" w:rsidRDefault="00692553" w:rsidP="00EF5168">
      <w:pPr>
        <w:pStyle w:val="MDPI52figure"/>
        <w:ind w:left="2608"/>
        <w:jc w:val="both"/>
        <w:rPr>
          <w:b/>
        </w:rPr>
      </w:pPr>
      <w:r w:rsidRPr="00EF5168">
        <w:rPr>
          <w:noProof/>
          <w:lang w:val="en-GB" w:eastAsia="en-GB" w:bidi="ar-SA"/>
        </w:rPr>
        <w:drawing>
          <wp:inline distT="0" distB="0" distL="0" distR="0" wp14:anchorId="20F09DA8" wp14:editId="49DD02FB">
            <wp:extent cx="2103120" cy="3307460"/>
            <wp:effectExtent l="0" t="0" r="0" b="0"/>
            <wp:docPr id="9" name="Immagine 9" descr="C:\Users\Cristine\Desktop\Immagin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ristine\Desktop\Immagine4.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22342" cy="3337689"/>
                    </a:xfrm>
                    <a:prstGeom prst="rect">
                      <a:avLst/>
                    </a:prstGeom>
                    <a:noFill/>
                    <a:ln>
                      <a:noFill/>
                    </a:ln>
                  </pic:spPr>
                </pic:pic>
              </a:graphicData>
            </a:graphic>
          </wp:inline>
        </w:drawing>
      </w:r>
    </w:p>
    <w:p w14:paraId="720EB26D" w14:textId="3267E892" w:rsidR="00692553" w:rsidRPr="00EF5168" w:rsidRDefault="00EF5168" w:rsidP="00EF5168">
      <w:pPr>
        <w:pStyle w:val="MDPI51figurecaption"/>
        <w:jc w:val="left"/>
      </w:pPr>
      <w:r w:rsidRPr="00EF5168">
        <w:rPr>
          <w:b/>
        </w:rPr>
        <w:t xml:space="preserve">Figure 1. </w:t>
      </w:r>
      <w:r w:rsidR="00692553" w:rsidRPr="00EF5168">
        <w:t>Protocol used in the ELIME detection.</w:t>
      </w:r>
    </w:p>
    <w:p w14:paraId="5BDB8CAF" w14:textId="4EC6EA15" w:rsidR="00DA461D" w:rsidRPr="00EF5168" w:rsidRDefault="00EF5168" w:rsidP="00EF5168">
      <w:pPr>
        <w:pStyle w:val="MDPI23heading3"/>
        <w:spacing w:before="240"/>
      </w:pPr>
      <w:r w:rsidRPr="00EF5168">
        <w:t xml:space="preserve">2.3.2. </w:t>
      </w:r>
      <w:r w:rsidR="00DA461D" w:rsidRPr="00EF5168">
        <w:t>Spiking of drinking water and water for vegetable processing</w:t>
      </w:r>
    </w:p>
    <w:p w14:paraId="10B0F32A" w14:textId="08366CAD" w:rsidR="00DA461D" w:rsidRPr="00EF5168" w:rsidRDefault="00DA461D" w:rsidP="00EF5168">
      <w:pPr>
        <w:pStyle w:val="MDPI31text"/>
        <w:rPr>
          <w:b/>
        </w:rPr>
      </w:pPr>
      <w:r w:rsidRPr="00EF5168">
        <w:t>Drinking water was collected from the public water system of Rome, Italy. Vegetable processing water was collected from an industrial setting performing processing of ready-to-eat leafy vegetables and included water taken after its use for vegetable washing. One hundred mL of drinking water and vegetable processing water were spiked with different concentrations of HAV (strain HM175/18f) at concentrations ranging between 0 (L0) and ~10.000 g.c./mL (L6)</w:t>
      </w:r>
      <w:r w:rsidR="00975320" w:rsidRPr="00EF5168">
        <w:t xml:space="preserve"> including</w:t>
      </w:r>
      <w:r w:rsidR="00896E4D" w:rsidRPr="00EF5168">
        <w:t>, for each level,</w:t>
      </w:r>
      <w:r w:rsidR="00975320" w:rsidRPr="00EF5168">
        <w:t xml:space="preserve"> intermediate dilutions</w:t>
      </w:r>
      <w:r w:rsidR="006C7728" w:rsidRPr="00EF5168">
        <w:t xml:space="preserve"> (e.g. L5/</w:t>
      </w:r>
      <w:r w:rsidR="00896E4D" w:rsidRPr="00EF5168">
        <w:t>6 = ~5.000 g.c./mL)</w:t>
      </w:r>
      <w:r w:rsidRPr="00EF5168">
        <w:t xml:space="preserve">. </w:t>
      </w:r>
      <w:r w:rsidR="00FA1A96" w:rsidRPr="00EF5168">
        <w:t xml:space="preserve">The exact inoculum value </w:t>
      </w:r>
      <w:r w:rsidR="002B4819" w:rsidRPr="00EF5168">
        <w:t>(</w:t>
      </w:r>
      <w:r w:rsidR="00DF69E9" w:rsidRPr="00EF5168">
        <w:t>and expected</w:t>
      </w:r>
      <w:r w:rsidR="002B4819" w:rsidRPr="00EF5168">
        <w:t xml:space="preserve"> value for quantification by RT-qPCR and ELIME assay)</w:t>
      </w:r>
      <w:r w:rsidR="00DF69E9" w:rsidRPr="00EF5168">
        <w:t xml:space="preserve"> </w:t>
      </w:r>
      <w:r w:rsidR="00FA1A96" w:rsidRPr="00EF5168">
        <w:t xml:space="preserve">was confirmed through analysis </w:t>
      </w:r>
      <w:r w:rsidR="002B4819" w:rsidRPr="00EF5168">
        <w:t xml:space="preserve">of the </w:t>
      </w:r>
      <w:r w:rsidR="000F78CD" w:rsidRPr="00EF5168">
        <w:t xml:space="preserve">highest concentration of the HAV suspension used for spiking. </w:t>
      </w:r>
    </w:p>
    <w:p w14:paraId="6F6D40B6" w14:textId="40B1AD10" w:rsidR="00DA461D" w:rsidRPr="00EF5168" w:rsidRDefault="00EF5168" w:rsidP="00EF5168">
      <w:pPr>
        <w:pStyle w:val="MDPI23heading3"/>
        <w:spacing w:before="240"/>
      </w:pPr>
      <w:r w:rsidRPr="00EF5168">
        <w:t xml:space="preserve">2.3.3. </w:t>
      </w:r>
      <w:r w:rsidR="00DA461D" w:rsidRPr="00EF5168">
        <w:t>Sample concentration for HAV detection</w:t>
      </w:r>
    </w:p>
    <w:p w14:paraId="4D5877A2" w14:textId="23D6A055" w:rsidR="00D45630" w:rsidRPr="00EF5168" w:rsidRDefault="00DA461D" w:rsidP="00EF5168">
      <w:pPr>
        <w:pStyle w:val="MDPI31text"/>
        <w:rPr>
          <w:b/>
        </w:rPr>
      </w:pPr>
      <w:r w:rsidRPr="00EF5168">
        <w:t>The concentration method for HAV was obtained by a modification of an organic solvent-based method taken from the literature [8</w:t>
      </w:r>
      <w:r w:rsidR="00C76F11" w:rsidRPr="00EF5168">
        <w:t>,</w:t>
      </w:r>
      <w:r w:rsidRPr="00EF5168">
        <w:t>9] and the reference ISO method for HAV detection in food and water s</w:t>
      </w:r>
      <w:r w:rsidR="00B14CE0" w:rsidRPr="00EF5168">
        <w:t xml:space="preserve">amples (ISO 15216-1:2017) [7]. </w:t>
      </w:r>
      <w:r w:rsidRPr="00EF5168">
        <w:t>Samples were filtered on the wrinkled side of the Zeta Plus™ 1MDS disc using an EZ-Stream® vacuum laboratory pump (Merck Millipore). Viruses adsorbed on the filter were eluted and recovered using 40 mL of Solution C, spinning at 35-40 rpm for 15 minutes. After adjusting pH to 7.0 ± 0.2 with HCl 5 N, the suspension was divided into two aliquots of equal volume, for ELIME assay detection, and real-time RT-qPCR analysis, respectively. The aliquot intended for RT-qPCR was concentrat</w:t>
      </w:r>
      <w:r w:rsidR="008A643E" w:rsidRPr="00EF5168">
        <w:t>ed</w:t>
      </w:r>
      <w:r w:rsidRPr="00EF5168">
        <w:t xml:space="preserve"> according to ISO 15216-</w:t>
      </w:r>
      <w:r w:rsidR="00D45630" w:rsidRPr="00EF5168">
        <w:t>1:2017 [7], centrifug</w:t>
      </w:r>
      <w:r w:rsidR="008A643E" w:rsidRPr="00EF5168">
        <w:t>ed</w:t>
      </w:r>
      <w:r w:rsidR="00D45630" w:rsidRPr="00EF5168">
        <w:t xml:space="preserve"> at 4000 ×</w:t>
      </w:r>
      <w:r w:rsidR="00D45630" w:rsidRPr="00EF5168">
        <w:rPr>
          <w:i/>
        </w:rPr>
        <w:t>g</w:t>
      </w:r>
      <w:r w:rsidR="00D45630" w:rsidRPr="00EF5168">
        <w:t xml:space="preserve"> for 15 minutes using Amicon Ultra centrifugal filter devices ultracel 100</w:t>
      </w:r>
      <w:r w:rsidR="002F2B7C" w:rsidRPr="00EF5168">
        <w:t xml:space="preserve"> </w:t>
      </w:r>
      <w:r w:rsidR="00D45630" w:rsidRPr="00EF5168">
        <w:t>KDa (Merck Millipore) and the viral concentrate</w:t>
      </w:r>
      <w:r w:rsidR="008A643E" w:rsidRPr="00EF5168">
        <w:t xml:space="preserve"> was</w:t>
      </w:r>
      <w:r w:rsidR="00D45630" w:rsidRPr="00EF5168">
        <w:t xml:space="preserve"> </w:t>
      </w:r>
      <w:r w:rsidR="008A643E" w:rsidRPr="00EF5168">
        <w:t>eluted with</w:t>
      </w:r>
      <w:r w:rsidR="00D45630" w:rsidRPr="00EF5168">
        <w:t xml:space="preserve"> 0.5 mL of sterile PBS (</w:t>
      </w:r>
      <w:r w:rsidR="0058133E" w:rsidRPr="00EF5168">
        <w:t xml:space="preserve">Figure </w:t>
      </w:r>
      <w:r w:rsidR="00D45630" w:rsidRPr="00EF5168">
        <w:t>2).</w:t>
      </w:r>
    </w:p>
    <w:p w14:paraId="55F262E2" w14:textId="200169C4" w:rsidR="00D45630" w:rsidRPr="00EF5168" w:rsidRDefault="00D45630" w:rsidP="00EF5168">
      <w:pPr>
        <w:pStyle w:val="MDPI52figure"/>
        <w:ind w:left="2608"/>
        <w:jc w:val="left"/>
        <w:rPr>
          <w:sz w:val="18"/>
          <w:szCs w:val="18"/>
        </w:rPr>
      </w:pPr>
      <w:r w:rsidRPr="00EF5168">
        <w:rPr>
          <w:noProof/>
          <w:lang w:val="en-GB"/>
        </w:rPr>
        <w:lastRenderedPageBreak/>
        <w:drawing>
          <wp:inline distT="0" distB="0" distL="0" distR="0" wp14:anchorId="3EC845EE" wp14:editId="242F80C6">
            <wp:extent cx="1977064" cy="2838734"/>
            <wp:effectExtent l="0" t="0" r="0" b="0"/>
            <wp:docPr id="11" name="Immagine 11" descr="C:\Users\Cristine\Desktop\Immagin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ristine\Desktop\Immagine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9502" cy="2842234"/>
                    </a:xfrm>
                    <a:prstGeom prst="rect">
                      <a:avLst/>
                    </a:prstGeom>
                    <a:noFill/>
                    <a:ln>
                      <a:noFill/>
                    </a:ln>
                  </pic:spPr>
                </pic:pic>
              </a:graphicData>
            </a:graphic>
          </wp:inline>
        </w:drawing>
      </w:r>
    </w:p>
    <w:p w14:paraId="319D50C5" w14:textId="40BB3EA8" w:rsidR="00EF5168" w:rsidRPr="00EF5168" w:rsidRDefault="00EF5168" w:rsidP="00EF5168">
      <w:pPr>
        <w:pStyle w:val="MDPI51figurecaption"/>
        <w:rPr>
          <w:szCs w:val="18"/>
        </w:rPr>
      </w:pPr>
      <w:r w:rsidRPr="00EF5168">
        <w:rPr>
          <w:b/>
        </w:rPr>
        <w:t xml:space="preserve">Figure 2. </w:t>
      </w:r>
      <w:r w:rsidR="00AE44C8" w:rsidRPr="00EF5168">
        <w:t>Extraction method for HAV from drinking water and water for vegetable processing</w:t>
      </w:r>
      <w:r w:rsidRPr="00EF5168">
        <w:rPr>
          <w:szCs w:val="18"/>
        </w:rPr>
        <w:t>.</w:t>
      </w:r>
    </w:p>
    <w:p w14:paraId="770C6185" w14:textId="183E85BD" w:rsidR="00AE44C8" w:rsidRPr="00EF5168" w:rsidRDefault="00EF5168" w:rsidP="00EF5168">
      <w:pPr>
        <w:pStyle w:val="MDPI23heading3"/>
        <w:spacing w:before="240"/>
      </w:pPr>
      <w:r w:rsidRPr="00EF5168">
        <w:t xml:space="preserve">2.3.4. </w:t>
      </w:r>
      <w:r w:rsidR="00AE44C8" w:rsidRPr="00EF5168">
        <w:t>RNA extraction and real-time RT-qPCR protocol</w:t>
      </w:r>
    </w:p>
    <w:p w14:paraId="310624A0" w14:textId="1364B183" w:rsidR="00AE44C8" w:rsidRPr="00EF5168" w:rsidRDefault="00AE44C8" w:rsidP="00EF5168">
      <w:pPr>
        <w:pStyle w:val="MDPI31text"/>
        <w:rPr>
          <w:b/>
        </w:rPr>
      </w:pPr>
      <w:r w:rsidRPr="00EF5168">
        <w:t xml:space="preserve">Nucleic acid extraction was performed using the NucliSens extraction kit and the MiniMag semi-automatic platform (bioMerieux, Paris, France) </w:t>
      </w:r>
      <w:r w:rsidR="008A643E" w:rsidRPr="00EF5168">
        <w:t>according to</w:t>
      </w:r>
      <w:r w:rsidRPr="00EF5168">
        <w:t xml:space="preserve"> the manufacturer’s instructions. Eluted RNA (100 μL) was stored at −80 °C until molecular analysis. Real-time RT-qPCR was conducted using the amplification conditions, primers, probes, and reagents reported in the annexes of the ISO 15216 method</w:t>
      </w:r>
      <w:r w:rsidR="00D700B1" w:rsidRPr="00EF5168">
        <w:t xml:space="preserve"> </w:t>
      </w:r>
      <w:r w:rsidR="00D700B1" w:rsidRPr="00EF5168">
        <w:rPr>
          <w:b/>
        </w:rPr>
        <w:fldChar w:fldCharType="begin"/>
      </w:r>
      <w:r w:rsidR="001052A1" w:rsidRPr="00EF5168">
        <w:instrText xml:space="preserve"> ADDIN ZOTERO_ITEM CSL_CITATION {"citationID":"jIdoxecE","properties":{"formattedCitation":"[28,32,33]","plainCitation":"[28,32,33]","noteIndex":0},"citationItems":[{"id":558,"uris":["http://zotero.org/users/local/n3CkrUVW/items/9A9VMAEM"],"itemData":{"id":558,"type":"article-journal","container-title":"Cold Spring Harbor Perspectives in Medicine","DOI":"10.1101/cshperspect.a033431","ISSN":"2157-1422","issue":"4","journalAbbreviation":"Cold Spring Harb Perspect Med","language":"en","page":"a033431","source":"DOI.org (Crossref)","title":"Epidemiology and Transmission of Hepatitis A Virus and Hepatitis E Virus Infections in the United States","volume":"9","author":[{"family":"Hofmeister","given":"Megan G."},{"family":"Foster","given":"Monique A."},{"family":"Teshale","given":"Eyasu H."}],"issued":{"date-parts":[["2019",4]]}}},{"id":569,"uris":["http://zotero.org/users/local/n3CkrUVW/items/2IW6KTQA"],"itemData":{"id":569,"type":"article-journal","container-title":"Food and Environmental Virology","DOI":"10.1007/s12560-022-09548-7","ISSN":"1867-0334, 1867-0342","issue":"2","journalAbbreviation":"Food Environ Virol","language":"en","page":"144-157","source":"DOI.org (Crossref)","title":"Rapid Detection of Hepatitis A Virus in Foods Using a Bioluminescent Assay in Real-Time (BART) and Reverse Transcription Loop-Mediated Isothermal Amplification (RT-LAMP) Technology","volume":"15","author":[{"family":"Wu","given":"Ruiqin"},{"family":"Meng","given":"Baozhong"},{"family":"Corredig","given":"Milena"},{"family":"Griffiths","given":"Mansel W."}],"issued":{"date-parts":[["2023",6]]}}},{"id":131,"uris":["http://zotero.org/users/local/n3CkrUVW/items/GRBPPL83"],"itemData":{"id":131,"type":"article-journal","abstract":"An Enzyme Linked ImmunoMagnetic Electrochemical assay (ELIME) was developed for the detection of the hepatitis A virus (HAV). This system is based on the use of new polydopamine-modified magnetic nanobeads as solid support for the immunochemical chain, and an array of 8 screen-printed electrodes as a sensing platform. Enzymatic-by-product is quickly measured by differential pulse voltammetry. For this purpose, all analytical parameters were optimized; in particular, different blocking reagents were evaluated in order to minimize the nonspecific interaction of bioreagents. Using the ELIME assays, a quantitative determination of HAV can be achieved with a detection limit of 1·10−11 IU mL−1 and a working range between 10−10 – 5 × 10−7 IU mL−1. The cross-reactivity of the commercial monoclonal antibodies against HAV used in ELIME assays was tested for Coxsackie B4, resulting very low. The sensitivity was also investigated and compared with spectrophotometric sandwich ELISA. The average relative standard deviation (RSD) of the ELIME method was less than 5% for the assays performed on the same day, and 7% for the measurements made on different days. The proposed system was applied to the cell culture of HAV, which title was quantified by Real-Time Quantitative Reverse Transcription PCR (RT¬qPCR). To compare the results, a correlation between the units used in ELIME (IU mL−1) and those used in RT¬qPCR (genome mL−1) was established using a HAV-positive sample, resulting in 1 IU mL−1–10−4 gen mL−1 (R2 = 0.978). The ELIME tool exhibits good stability and high biological selectivity for HAV antigen detection and was successfully applied for the determination of HAV in tap water.","container-title":"Talanta","DOI":"10.1016/j.talanta.2021.122672","ISSN":"0039-9140","journalAbbreviation":"Talanta","page":"122672","title":"An ELIME assay for hepatitis A virus detection","volume":"234","author":[{"family":"Micheli","given":"Laura"},{"family":"Fasoli","given":"Andrea"},{"family":"Attar","given":"Aisha"},{"family":"Donia","given":"Domenica T."},{"family":"Divizia","given":"Maurizio"},{"family":"Amine","given":"Aziz"},{"family":"Palleschi","given":"Giuseppe"},{"family":"Salazar Carballo","given":"Pedro A."},{"family":"Moscone","given":"Danila"}],"issued":{"date-parts":[["2021",11,1]]}}}],"schema":"https://github.com/citation-style-language/schema/raw/master/csl-citation.json"} </w:instrText>
      </w:r>
      <w:r w:rsidR="00D700B1" w:rsidRPr="00EF5168">
        <w:rPr>
          <w:b/>
        </w:rPr>
        <w:fldChar w:fldCharType="separate"/>
      </w:r>
      <w:r w:rsidR="001052A1" w:rsidRPr="00EF5168">
        <w:t>[28,32,33]</w:t>
      </w:r>
      <w:r w:rsidR="00D700B1" w:rsidRPr="00EF5168">
        <w:rPr>
          <w:b/>
        </w:rPr>
        <w:fldChar w:fldCharType="end"/>
      </w:r>
      <w:r w:rsidRPr="00EF5168">
        <w:rPr>
          <w:bCs/>
        </w:rPr>
        <w:t xml:space="preserve">. </w:t>
      </w:r>
      <w:r w:rsidRPr="00EF5168">
        <w:t xml:space="preserve">Briefly, the assay was performed using the RNA UltraSense One-Step qRT-PCR System kit (Life Technologies) in a 25 μl reaction mixture containing 5 μl of RNA, 900 nM of reverse primer, 500 nM of forward primer, and 250 nM of the probe. The reactions were carried out in duplicate on a 7700 Sequence Detection System (Applied Biosystems) with the following amplification conditions: reverse transcription at 55 °C for 60 min, 95 °C for 5 min, and 45 cycles at 95 °C for 15 s, </w:t>
      </w:r>
      <w:r w:rsidR="00C76F11" w:rsidRPr="00EF5168">
        <w:t xml:space="preserve">60°C for 60 s, </w:t>
      </w:r>
      <w:r w:rsidRPr="00EF5168">
        <w:t>and 65°C for 60 s. For standard curve construction, tenfold dilutions of a quantified plasmid containing the target sequence were used (range 10</w:t>
      </w:r>
      <w:r w:rsidRPr="00EF5168">
        <w:rPr>
          <w:vertAlign w:val="superscript"/>
        </w:rPr>
        <w:t>1</w:t>
      </w:r>
      <w:r w:rsidRPr="00EF5168">
        <w:t xml:space="preserve"> – 10</w:t>
      </w:r>
      <w:r w:rsidRPr="00EF5168">
        <w:rPr>
          <w:vertAlign w:val="superscript"/>
        </w:rPr>
        <w:t>5</w:t>
      </w:r>
      <w:r w:rsidRPr="00EF5168">
        <w:t xml:space="preserve"> copies/</w:t>
      </w:r>
      <w:r w:rsidRPr="00EF5168">
        <w:rPr>
          <w:rFonts w:ascii="Symbol" w:hAnsi="Symbol"/>
        </w:rPr>
        <w:t></w:t>
      </w:r>
      <w:r w:rsidRPr="00EF5168">
        <w:t xml:space="preserve">l); </w:t>
      </w:r>
      <w:r w:rsidR="00C76F11" w:rsidRPr="00EF5168">
        <w:t xml:space="preserve">quantifications </w:t>
      </w:r>
      <w:r w:rsidRPr="00EF5168">
        <w:t xml:space="preserve">were considered acceptable if </w:t>
      </w:r>
      <w:r w:rsidR="00932AAD" w:rsidRPr="00EF5168">
        <w:t xml:space="preserve">standard </w:t>
      </w:r>
      <w:r w:rsidRPr="00EF5168">
        <w:t>curves displayed a slope between -3.1 and -3.6 and an R</w:t>
      </w:r>
      <w:r w:rsidRPr="00EF5168">
        <w:rPr>
          <w:vertAlign w:val="superscript"/>
        </w:rPr>
        <w:t>2</w:t>
      </w:r>
      <w:r w:rsidRPr="00EF5168">
        <w:t xml:space="preserve"> ≥ 0.98.</w:t>
      </w:r>
    </w:p>
    <w:p w14:paraId="25EA47A9" w14:textId="70D78C0D" w:rsidR="00562737" w:rsidRPr="00EF5168" w:rsidRDefault="00EF5168" w:rsidP="00EF5168">
      <w:pPr>
        <w:pStyle w:val="MDPI23heading3"/>
        <w:spacing w:before="240"/>
      </w:pPr>
      <w:r w:rsidRPr="00EF5168">
        <w:t xml:space="preserve">2.3.5. </w:t>
      </w:r>
      <w:r w:rsidR="00FB6E67" w:rsidRPr="00EF5168">
        <w:t>Calibration curve for immunosensor</w:t>
      </w:r>
    </w:p>
    <w:p w14:paraId="06A6E021" w14:textId="37C41B61" w:rsidR="001D4AF9" w:rsidRPr="00EF5168" w:rsidRDefault="001D4AF9" w:rsidP="00EF5168">
      <w:pPr>
        <w:pStyle w:val="MDPI31text"/>
      </w:pPr>
      <w:r w:rsidRPr="00EF5168">
        <w:t xml:space="preserve">The dose-response curve </w:t>
      </w:r>
      <w:r w:rsidR="00C76F11" w:rsidRPr="00EF5168">
        <w:t xml:space="preserve">of the ELIME </w:t>
      </w:r>
      <w:r w:rsidRPr="00EF5168">
        <w:t xml:space="preserve">was constructed by fitting experimental data with a nonlinear four-parameter logistic calibration plot, as shown in the </w:t>
      </w:r>
      <w:r w:rsidR="00D700B1" w:rsidRPr="00EF5168">
        <w:t xml:space="preserve">equation </w:t>
      </w:r>
      <w:r w:rsidR="00D700B1" w:rsidRPr="00EF5168">
        <w:fldChar w:fldCharType="begin"/>
      </w:r>
      <w:r w:rsidR="001052A1" w:rsidRPr="00EF5168">
        <w:instrText xml:space="preserve"> ADDIN ZOTERO_ITEM CSL_CITATION {"citationID":"ggpG7efj","properties":{"formattedCitation":"[30,34]","plainCitation":"[30,34]","noteIndex":0},"citationItems":[{"id":451,"uris":["http://zotero.org/users/local/n3CkrUVW/items/VBWEFYFV"],"itemData":{"id":451,"type":"article-journal","container-title":"Microchemical Journal","DOI":"10.1016/j.microc.2023.108868","ISSN":"0026265X","journalAbbreviation":"Microchemical Journal","language":"en","page":"108868","source":"DOI.org (Crossref)","title":"Nafion-based label-free immunosensor as a reliable warning system: The case of AFB1 detection in cattle feed","title-short":"Nafion-based label-free immunosensor as a reliable warning system","volume":"191","author":[{"family":"Cancelliere","given":"Rocco"},{"family":"Di Tinno","given":"Alessio"},{"family":"Cataldo","given":"Antonino"},{"family":"Bellucci","given":"Stefano"},{"family":"Kumbhat","given":"Sunita"},{"family":"Micheli","given":"Laura"}],"issued":{"date-parts":[["2023",8]]}}},{"id":583,"uris":["http://zotero.org/users/local/n3CkrUVW/items/YPRYCTHJ"],"itemData":{"id":583,"type":"article-journal","abstract":"Interleukin-6 (IL-6) plays a crucial role in autoimmunity and chronic inflammation. This study aims to develop a low-cost, simple-to-manufacture, and user-friendly label-free electrochemical point-of-care device for the rapid detection of IL-6 in patients with psoriasis. Precisely, a sandwich-based format immunosensor was developed using two primary antibodies (mAb-IL6 clone-5 and clone-7) and screen-printed electrodes modified with an inexpensive recycling electrochemical enhancing material, called biochar. mAb-IL6 clone-5 was used as a covalently immobilized capture bioreceptor on modified electrodes, and mAb-IL6 clone-7 was used to recognize the immunocomplex (Anti-IL6 clone-5 and IL-6) and form the sandwich. Cyclic voltammetry (CV) and electrochemical impedance spectroscopy (EIS) were used to conduct electrochemical characterization of the layer-by-layer assembly of the immunosensor, while square wave voltammetry (SWV) was used to perform the sensing. The developed immunosensor demonstrated robust analytical performance in buffer solution, with a wide linear range (LR) by varying from 2 to 250 pg/mL, a good limit of detection (LOD) of 0.78 pg/mL and reproducibility (RSD&amp;lt;7%). In addition, a spectrophotometric ELISA kit was employed to validate the results obtained with the label-free device by analyzing twenty-five serum samples from control and patients affected by psoriasis. A strong correlation in terms of pg/mL concentration of IL-6 was found comparing the two methods, with the advantage for our label-free biosensor of an ease use and a quicker detection time. Based on IL-6 levels, the proposed immunosensor is a dependable, non-invasive screening device capable of predicting disease onset, progression, and treatment efficacy.","container-title":"Frontiers in Chemistry","DOI":"10.3389/fchem.2023.1251360","ISSN":"2296-2646","journalAbbreviation":"Front. Chem.","page":"1251360","source":"DOI.org (Crossref)","title":"Label-free electrochemical immunosensor as a reliable point-of-care device for the detection of Interleukin-6 in serum samples from patients with psoriasis","volume":"11","author":[{"family":"Cancelliere","given":"Rocco"},{"family":"Cosio","given":"Terenzio"},{"family":"Campione","given":"Elena"},{"family":"Corvino","given":"Martina"},{"family":"D’Amico","given":"Maria Pia"},{"family":"Micheli","given":"Laura"},{"family":"Signori","given":"Emanuela"},{"family":"Contini","given":"Giorgio"}],"issued":{"date-parts":[["2023",11,10]]}}}],"schema":"https://github.com/citation-style-language/schema/raw/master/csl-citation.json"} </w:instrText>
      </w:r>
      <w:r w:rsidR="00D700B1" w:rsidRPr="00EF5168">
        <w:fldChar w:fldCharType="separate"/>
      </w:r>
      <w:r w:rsidR="001052A1" w:rsidRPr="00EF5168">
        <w:t>[30,34]</w:t>
      </w:r>
      <w:r w:rsidR="00D700B1" w:rsidRPr="00EF5168">
        <w:fldChar w:fldCharType="end"/>
      </w:r>
      <w:r w:rsidRPr="00EF5168">
        <w:t>:</w:t>
      </w:r>
    </w:p>
    <w:p w14:paraId="4AF10803" w14:textId="77777777" w:rsidR="001D4AF9" w:rsidRPr="00EF5168" w:rsidRDefault="001D4AF9" w:rsidP="001D4AF9">
      <w:pPr>
        <w:pStyle w:val="MDPI31text"/>
        <w:rPr>
          <w:color w:val="auto"/>
          <w:sz w:val="18"/>
          <w:szCs w:val="18"/>
        </w:rPr>
      </w:pPr>
    </w:p>
    <w:p w14:paraId="1BCD3382" w14:textId="0C7728E1" w:rsidR="001D4AF9" w:rsidRPr="00EF5168" w:rsidRDefault="001D4AF9" w:rsidP="00C76F11">
      <w:pPr>
        <w:pStyle w:val="MDPI31text"/>
        <w:rPr>
          <w:color w:val="auto"/>
          <w:sz w:val="18"/>
          <w:szCs w:val="18"/>
        </w:rPr>
      </w:pPr>
      <m:oMath>
        <m:r>
          <w:rPr>
            <w:rFonts w:ascii="Cambria Math" w:hAnsi="Cambria Math"/>
            <w:color w:val="auto"/>
            <w:sz w:val="18"/>
            <w:szCs w:val="18"/>
          </w:rPr>
          <m:t>y=</m:t>
        </m:r>
        <m:sSub>
          <m:sSubPr>
            <m:ctrlPr>
              <w:rPr>
                <w:rFonts w:ascii="Cambria Math" w:hAnsi="Cambria Math"/>
                <w:i/>
                <w:color w:val="auto"/>
                <w:sz w:val="18"/>
                <w:szCs w:val="18"/>
              </w:rPr>
            </m:ctrlPr>
          </m:sSubPr>
          <m:e>
            <m:r>
              <w:rPr>
                <w:rFonts w:ascii="Cambria Math" w:hAnsi="Cambria Math"/>
                <w:color w:val="auto"/>
                <w:sz w:val="18"/>
                <w:szCs w:val="18"/>
              </w:rPr>
              <m:t>y</m:t>
            </m:r>
          </m:e>
          <m:sub>
            <m:r>
              <w:rPr>
                <w:rFonts w:ascii="Cambria Math" w:hAnsi="Cambria Math"/>
                <w:color w:val="auto"/>
                <w:sz w:val="18"/>
                <w:szCs w:val="18"/>
              </w:rPr>
              <m:t>0</m:t>
            </m:r>
          </m:sub>
        </m:sSub>
        <m:r>
          <w:rPr>
            <w:rFonts w:ascii="Cambria Math" w:hAnsi="Cambria Math"/>
            <w:color w:val="auto"/>
            <w:sz w:val="18"/>
            <w:szCs w:val="18"/>
          </w:rPr>
          <m:t>+</m:t>
        </m:r>
        <m:f>
          <m:fPr>
            <m:ctrlPr>
              <w:rPr>
                <w:rFonts w:ascii="Cambria Math" w:hAnsi="Cambria Math"/>
                <w:i/>
                <w:color w:val="auto"/>
                <w:sz w:val="18"/>
                <w:szCs w:val="18"/>
              </w:rPr>
            </m:ctrlPr>
          </m:fPr>
          <m:num>
            <m:r>
              <w:rPr>
                <w:rFonts w:ascii="Cambria Math" w:hAnsi="Cambria Math"/>
                <w:color w:val="auto"/>
                <w:sz w:val="18"/>
                <w:szCs w:val="18"/>
              </w:rPr>
              <m:t>a</m:t>
            </m:r>
          </m:num>
          <m:den>
            <m:r>
              <w:rPr>
                <w:rFonts w:ascii="Cambria Math" w:hAnsi="Cambria Math"/>
                <w:color w:val="auto"/>
                <w:sz w:val="18"/>
                <w:szCs w:val="18"/>
              </w:rPr>
              <m:t>1+</m:t>
            </m:r>
            <m:sSup>
              <m:sSupPr>
                <m:ctrlPr>
                  <w:rPr>
                    <w:rFonts w:ascii="Cambria Math" w:hAnsi="Cambria Math"/>
                    <w:i/>
                    <w:color w:val="auto"/>
                    <w:sz w:val="18"/>
                    <w:szCs w:val="18"/>
                  </w:rPr>
                </m:ctrlPr>
              </m:sSupPr>
              <m:e>
                <m:d>
                  <m:dPr>
                    <m:ctrlPr>
                      <w:rPr>
                        <w:rFonts w:ascii="Cambria Math" w:hAnsi="Cambria Math"/>
                        <w:i/>
                        <w:color w:val="auto"/>
                        <w:sz w:val="18"/>
                        <w:szCs w:val="18"/>
                      </w:rPr>
                    </m:ctrlPr>
                  </m:dPr>
                  <m:e>
                    <m:f>
                      <m:fPr>
                        <m:ctrlPr>
                          <w:rPr>
                            <w:rFonts w:ascii="Cambria Math" w:hAnsi="Cambria Math"/>
                            <w:i/>
                            <w:color w:val="auto"/>
                            <w:sz w:val="18"/>
                            <w:szCs w:val="18"/>
                          </w:rPr>
                        </m:ctrlPr>
                      </m:fPr>
                      <m:num>
                        <m:r>
                          <w:rPr>
                            <w:rFonts w:ascii="Cambria Math" w:hAnsi="Cambria Math"/>
                            <w:color w:val="auto"/>
                            <w:sz w:val="18"/>
                            <w:szCs w:val="18"/>
                          </w:rPr>
                          <m:t>x</m:t>
                        </m:r>
                      </m:num>
                      <m:den>
                        <m:sSub>
                          <m:sSubPr>
                            <m:ctrlPr>
                              <w:rPr>
                                <w:rFonts w:ascii="Cambria Math" w:hAnsi="Cambria Math"/>
                                <w:i/>
                                <w:color w:val="auto"/>
                                <w:sz w:val="18"/>
                                <w:szCs w:val="18"/>
                              </w:rPr>
                            </m:ctrlPr>
                          </m:sSubPr>
                          <m:e>
                            <m:r>
                              <w:rPr>
                                <w:rFonts w:ascii="Cambria Math" w:hAnsi="Cambria Math"/>
                                <w:color w:val="auto"/>
                                <w:sz w:val="18"/>
                                <w:szCs w:val="18"/>
                              </w:rPr>
                              <m:t>x</m:t>
                            </m:r>
                          </m:e>
                          <m:sub>
                            <m:r>
                              <w:rPr>
                                <w:rFonts w:ascii="Cambria Math" w:hAnsi="Cambria Math"/>
                                <w:color w:val="auto"/>
                                <w:sz w:val="18"/>
                                <w:szCs w:val="18"/>
                              </w:rPr>
                              <m:t>0</m:t>
                            </m:r>
                          </m:sub>
                        </m:sSub>
                      </m:den>
                    </m:f>
                  </m:e>
                </m:d>
              </m:e>
              <m:sup>
                <m:r>
                  <w:rPr>
                    <w:rFonts w:ascii="Cambria Math" w:hAnsi="Cambria Math"/>
                    <w:color w:val="auto"/>
                    <w:sz w:val="18"/>
                    <w:szCs w:val="18"/>
                  </w:rPr>
                  <m:t>b</m:t>
                </m:r>
              </m:sup>
            </m:sSup>
          </m:den>
        </m:f>
      </m:oMath>
      <w:r w:rsidRPr="00EF5168">
        <w:rPr>
          <w:color w:val="auto"/>
          <w:sz w:val="18"/>
          <w:szCs w:val="18"/>
        </w:rPr>
        <w:t xml:space="preserve"> </w:t>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Pr="00EF5168">
        <w:rPr>
          <w:color w:val="auto"/>
          <w:sz w:val="18"/>
          <w:szCs w:val="18"/>
        </w:rPr>
        <w:t>Eq.1</w:t>
      </w:r>
    </w:p>
    <w:p w14:paraId="2A3DC297" w14:textId="77777777" w:rsidR="001D4AF9" w:rsidRPr="00EF5168" w:rsidRDefault="001D4AF9" w:rsidP="001D4AF9">
      <w:pPr>
        <w:pStyle w:val="MDPI31text"/>
        <w:rPr>
          <w:color w:val="auto"/>
        </w:rPr>
      </w:pPr>
    </w:p>
    <w:p w14:paraId="1E5EF5D2" w14:textId="7158F3F9" w:rsidR="001D4AF9" w:rsidRPr="00EF5168" w:rsidRDefault="001D4AF9" w:rsidP="00EF5168">
      <w:pPr>
        <w:pStyle w:val="MDPI31text"/>
        <w:ind w:firstLine="0"/>
      </w:pPr>
      <w:r w:rsidRPr="00EF5168">
        <w:t xml:space="preserve">in which </w:t>
      </w:r>
      <w:r w:rsidRPr="00EF5168">
        <w:rPr>
          <w:i/>
        </w:rPr>
        <w:t>a</w:t>
      </w:r>
      <w:r w:rsidRPr="00EF5168">
        <w:t xml:space="preserve"> and </w:t>
      </w:r>
      <w:r w:rsidRPr="00EF5168">
        <w:rPr>
          <w:i/>
        </w:rPr>
        <w:t>y</w:t>
      </w:r>
      <w:r w:rsidRPr="00EF5168">
        <w:rPr>
          <w:i/>
          <w:vertAlign w:val="subscript"/>
        </w:rPr>
        <w:t>0</w:t>
      </w:r>
      <w:r w:rsidRPr="00EF5168">
        <w:t xml:space="preserve"> are the asymptotic maximum and minimum values, </w:t>
      </w:r>
      <w:r w:rsidRPr="00EF5168">
        <w:rPr>
          <w:i/>
        </w:rPr>
        <w:t>x</w:t>
      </w:r>
      <w:r w:rsidRPr="00EF5168">
        <w:rPr>
          <w:i/>
          <w:vertAlign w:val="subscript"/>
        </w:rPr>
        <w:t>0</w:t>
      </w:r>
      <w:r w:rsidRPr="00EF5168">
        <w:t xml:space="preserve"> is the IC</w:t>
      </w:r>
      <w:r w:rsidRPr="00EF5168">
        <w:rPr>
          <w:vertAlign w:val="subscript"/>
        </w:rPr>
        <w:t>50</w:t>
      </w:r>
      <w:r w:rsidRPr="00EF5168">
        <w:t xml:space="preserve"> and </w:t>
      </w:r>
      <w:r w:rsidRPr="00EF5168">
        <w:rPr>
          <w:i/>
        </w:rPr>
        <w:t>b</w:t>
      </w:r>
      <w:r w:rsidRPr="00EF5168">
        <w:t xml:space="preserve"> is the slope. Each value of current </w:t>
      </w:r>
      <w:r w:rsidRPr="00EF5168">
        <w:rPr>
          <w:i/>
        </w:rPr>
        <w:t>I</w:t>
      </w:r>
      <w:r w:rsidRPr="00EF5168">
        <w:t xml:space="preserve"> (μA) was normalized using the formula</w:t>
      </w:r>
      <w:r w:rsidR="002147AE" w:rsidRPr="00EF5168">
        <w:t xml:space="preserve"> </w:t>
      </w:r>
      <w:r w:rsidR="002147AE" w:rsidRPr="00EF5168">
        <w:fldChar w:fldCharType="begin"/>
      </w:r>
      <w:r w:rsidR="001052A1" w:rsidRPr="00EF5168">
        <w:instrText xml:space="preserve"> ADDIN ZOTERO_ITEM CSL_CITATION {"citationID":"csj8KPbT","properties":{"formattedCitation":"[30]","plainCitation":"[30]","noteIndex":0},"citationItems":[{"id":451,"uris":["http://zotero.org/users/local/n3CkrUVW/items/VBWEFYFV"],"itemData":{"id":451,"type":"article-journal","container-title":"Microchemical Journal","DOI":"10.1016/j.microc.2023.108868","ISSN":"0026265X","journalAbbreviation":"Microchemical Journal","language":"en","page":"108868","source":"DOI.org (Crossref)","title":"Nafion-based label-free immunosensor as a reliable warning system: The case of AFB1 detection in cattle feed","title-short":"Nafion-based label-free immunosensor as a reliable warning system","volume":"191","author":[{"family":"Cancelliere","given":"Rocco"},{"family":"Di Tinno","given":"Alessio"},{"family":"Cataldo","given":"Antonino"},{"family":"Bellucci","given":"Stefano"},{"family":"Kumbhat","given":"Sunita"},{"family":"Micheli","given":"Laura"}],"issued":{"date-parts":[["2023",8]]}}}],"schema":"https://github.com/citation-style-language/schema/raw/master/csl-citation.json"} </w:instrText>
      </w:r>
      <w:r w:rsidR="002147AE" w:rsidRPr="00EF5168">
        <w:fldChar w:fldCharType="separate"/>
      </w:r>
      <w:r w:rsidR="001052A1" w:rsidRPr="00EF5168">
        <w:t>[30]</w:t>
      </w:r>
      <w:r w:rsidR="002147AE" w:rsidRPr="00EF5168">
        <w:fldChar w:fldCharType="end"/>
      </w:r>
      <w:r w:rsidRPr="00EF5168">
        <w:t>:</w:t>
      </w:r>
    </w:p>
    <w:p w14:paraId="3C094066" w14:textId="77777777" w:rsidR="001D4AF9" w:rsidRPr="00EF5168" w:rsidRDefault="001D4AF9" w:rsidP="001D4AF9">
      <w:pPr>
        <w:pStyle w:val="MDPI31text"/>
        <w:rPr>
          <w:color w:val="auto"/>
          <w:sz w:val="18"/>
          <w:szCs w:val="18"/>
        </w:rPr>
      </w:pPr>
    </w:p>
    <w:p w14:paraId="49F84AFE" w14:textId="52680831" w:rsidR="001D4AF9" w:rsidRPr="00EF5168" w:rsidRDefault="009C27FD" w:rsidP="00C76F11">
      <w:pPr>
        <w:pStyle w:val="MDPI31text"/>
        <w:rPr>
          <w:color w:val="auto"/>
          <w:sz w:val="18"/>
          <w:szCs w:val="18"/>
        </w:rPr>
      </w:pPr>
      <w:r w:rsidRPr="00EF5168">
        <w:rPr>
          <w:color w:val="auto"/>
          <w:sz w:val="18"/>
          <w:szCs w:val="18"/>
        </w:rPr>
        <w:t>I% =</w:t>
      </w:r>
      <m:oMath>
        <m:r>
          <w:rPr>
            <w:rFonts w:ascii="Cambria Math" w:hAnsi="Cambria Math"/>
            <w:color w:val="auto"/>
            <w:sz w:val="18"/>
            <w:szCs w:val="18"/>
          </w:rPr>
          <m:t xml:space="preserve"> </m:t>
        </m:r>
        <m:f>
          <m:fPr>
            <m:ctrlPr>
              <w:rPr>
                <w:rFonts w:ascii="Cambria Math" w:hAnsi="Cambria Math"/>
                <w:color w:val="auto"/>
                <w:sz w:val="18"/>
                <w:szCs w:val="18"/>
                <w:lang w:val="it-IT"/>
              </w:rPr>
            </m:ctrlPr>
          </m:fPr>
          <m:num>
            <m:sSub>
              <m:sSubPr>
                <m:ctrlPr>
                  <w:rPr>
                    <w:rFonts w:ascii="Cambria Math" w:hAnsi="Cambria Math"/>
                    <w:color w:val="auto"/>
                    <w:sz w:val="18"/>
                    <w:szCs w:val="18"/>
                    <w:lang w:val="it-IT"/>
                  </w:rPr>
                </m:ctrlPr>
              </m:sSubPr>
              <m:e>
                <m:r>
                  <m:rPr>
                    <m:sty m:val="p"/>
                  </m:rPr>
                  <w:rPr>
                    <w:rFonts w:ascii="Cambria Math" w:hAnsi="Cambria Math"/>
                    <w:color w:val="auto"/>
                    <w:sz w:val="18"/>
                    <w:szCs w:val="18"/>
                  </w:rPr>
                  <m:t>I</m:t>
                </m:r>
              </m:e>
              <m:sub>
                <m:r>
                  <m:rPr>
                    <m:sty m:val="p"/>
                  </m:rPr>
                  <w:rPr>
                    <w:rFonts w:ascii="Cambria Math" w:hAnsi="Cambria Math"/>
                    <w:color w:val="auto"/>
                    <w:sz w:val="18"/>
                    <w:szCs w:val="18"/>
                  </w:rPr>
                  <m:t>x</m:t>
                </m:r>
              </m:sub>
            </m:sSub>
            <m:r>
              <m:rPr>
                <m:sty m:val="p"/>
              </m:rPr>
              <w:rPr>
                <w:rFonts w:ascii="Cambria Math" w:hAnsi="Cambria Math"/>
                <w:color w:val="auto"/>
                <w:sz w:val="18"/>
                <w:szCs w:val="18"/>
              </w:rPr>
              <m:t>-</m:t>
            </m:r>
            <m:sSub>
              <m:sSubPr>
                <m:ctrlPr>
                  <w:rPr>
                    <w:rFonts w:ascii="Cambria Math" w:hAnsi="Cambria Math"/>
                    <w:color w:val="auto"/>
                    <w:sz w:val="18"/>
                    <w:szCs w:val="18"/>
                    <w:lang w:val="it-IT"/>
                  </w:rPr>
                </m:ctrlPr>
              </m:sSubPr>
              <m:e>
                <m:acc>
                  <m:accPr>
                    <m:chr m:val="̅"/>
                    <m:ctrlPr>
                      <w:rPr>
                        <w:rFonts w:ascii="Cambria Math" w:hAnsi="Cambria Math"/>
                        <w:color w:val="auto"/>
                        <w:sz w:val="18"/>
                        <w:szCs w:val="18"/>
                        <w:lang w:val="it-IT"/>
                      </w:rPr>
                    </m:ctrlPr>
                  </m:accPr>
                  <m:e>
                    <m:r>
                      <m:rPr>
                        <m:sty m:val="p"/>
                      </m:rPr>
                      <w:rPr>
                        <w:rFonts w:ascii="Cambria Math" w:hAnsi="Cambria Math"/>
                        <w:color w:val="auto"/>
                        <w:sz w:val="18"/>
                        <w:szCs w:val="18"/>
                      </w:rPr>
                      <m:t>I</m:t>
                    </m:r>
                  </m:e>
                </m:acc>
              </m:e>
              <m:sub>
                <m:r>
                  <m:rPr>
                    <m:sty m:val="p"/>
                  </m:rPr>
                  <w:rPr>
                    <w:rFonts w:ascii="Cambria Math" w:hAnsi="Cambria Math"/>
                    <w:color w:val="auto"/>
                    <w:sz w:val="18"/>
                    <w:szCs w:val="18"/>
                  </w:rPr>
                  <m:t>min</m:t>
                </m:r>
              </m:sub>
            </m:sSub>
          </m:num>
          <m:den>
            <m:sSub>
              <m:sSubPr>
                <m:ctrlPr>
                  <w:rPr>
                    <w:rFonts w:ascii="Cambria Math" w:hAnsi="Cambria Math"/>
                    <w:color w:val="auto"/>
                    <w:sz w:val="18"/>
                    <w:szCs w:val="18"/>
                    <w:lang w:val="it-IT"/>
                  </w:rPr>
                </m:ctrlPr>
              </m:sSubPr>
              <m:e>
                <m:acc>
                  <m:accPr>
                    <m:chr m:val="̅"/>
                    <m:ctrlPr>
                      <w:rPr>
                        <w:rFonts w:ascii="Cambria Math" w:hAnsi="Cambria Math"/>
                        <w:color w:val="auto"/>
                        <w:sz w:val="18"/>
                        <w:szCs w:val="18"/>
                        <w:lang w:val="it-IT"/>
                      </w:rPr>
                    </m:ctrlPr>
                  </m:accPr>
                  <m:e>
                    <m:r>
                      <m:rPr>
                        <m:sty m:val="p"/>
                      </m:rPr>
                      <w:rPr>
                        <w:rFonts w:ascii="Cambria Math" w:hAnsi="Cambria Math"/>
                        <w:color w:val="auto"/>
                        <w:sz w:val="18"/>
                        <w:szCs w:val="18"/>
                      </w:rPr>
                      <m:t>I</m:t>
                    </m:r>
                  </m:e>
                </m:acc>
              </m:e>
              <m:sub>
                <m:r>
                  <m:rPr>
                    <m:sty m:val="p"/>
                  </m:rPr>
                  <w:rPr>
                    <w:rFonts w:ascii="Cambria Math" w:hAnsi="Cambria Math"/>
                    <w:color w:val="auto"/>
                    <w:sz w:val="18"/>
                    <w:szCs w:val="18"/>
                  </w:rPr>
                  <m:t>max</m:t>
                </m:r>
              </m:sub>
            </m:sSub>
            <m:r>
              <m:rPr>
                <m:sty m:val="p"/>
              </m:rPr>
              <w:rPr>
                <w:rFonts w:ascii="Cambria Math" w:hAnsi="Cambria Math"/>
                <w:color w:val="auto"/>
                <w:sz w:val="18"/>
                <w:szCs w:val="18"/>
              </w:rPr>
              <m:t>-</m:t>
            </m:r>
            <m:sSub>
              <m:sSubPr>
                <m:ctrlPr>
                  <w:rPr>
                    <w:rFonts w:ascii="Cambria Math" w:hAnsi="Cambria Math"/>
                    <w:color w:val="auto"/>
                    <w:sz w:val="18"/>
                    <w:szCs w:val="18"/>
                    <w:lang w:val="it-IT"/>
                  </w:rPr>
                </m:ctrlPr>
              </m:sSubPr>
              <m:e>
                <m:acc>
                  <m:accPr>
                    <m:chr m:val="̅"/>
                    <m:ctrlPr>
                      <w:rPr>
                        <w:rFonts w:ascii="Cambria Math" w:hAnsi="Cambria Math"/>
                        <w:color w:val="auto"/>
                        <w:sz w:val="18"/>
                        <w:szCs w:val="18"/>
                        <w:lang w:val="it-IT"/>
                      </w:rPr>
                    </m:ctrlPr>
                  </m:accPr>
                  <m:e>
                    <m:r>
                      <m:rPr>
                        <m:sty m:val="p"/>
                      </m:rPr>
                      <w:rPr>
                        <w:rFonts w:ascii="Cambria Math" w:hAnsi="Cambria Math"/>
                        <w:color w:val="auto"/>
                        <w:sz w:val="18"/>
                        <w:szCs w:val="18"/>
                      </w:rPr>
                      <m:t>I</m:t>
                    </m:r>
                  </m:e>
                </m:acc>
              </m:e>
              <m:sub>
                <m:r>
                  <m:rPr>
                    <m:sty m:val="p"/>
                  </m:rPr>
                  <w:rPr>
                    <w:rFonts w:ascii="Cambria Math" w:hAnsi="Cambria Math"/>
                    <w:color w:val="auto"/>
                    <w:sz w:val="18"/>
                    <w:szCs w:val="18"/>
                  </w:rPr>
                  <m:t>min</m:t>
                </m:r>
              </m:sub>
            </m:sSub>
          </m:den>
        </m:f>
        <m:r>
          <m:rPr>
            <m:sty m:val="p"/>
          </m:rPr>
          <w:rPr>
            <w:rFonts w:ascii="Cambria Math" w:hAnsi="Cambria Math"/>
            <w:color w:val="auto"/>
            <w:sz w:val="18"/>
            <w:szCs w:val="18"/>
          </w:rPr>
          <m:t>∙100 %</m:t>
        </m:r>
      </m:oMath>
      <w:r w:rsidRPr="00EF5168">
        <w:rPr>
          <w:color w:val="auto"/>
          <w:sz w:val="18"/>
          <w:szCs w:val="18"/>
        </w:rPr>
        <w:t xml:space="preserve">  </w:t>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00C76F11" w:rsidRPr="00EF5168">
        <w:rPr>
          <w:color w:val="auto"/>
          <w:sz w:val="18"/>
          <w:szCs w:val="18"/>
        </w:rPr>
        <w:tab/>
      </w:r>
      <w:r w:rsidRPr="00EF5168">
        <w:rPr>
          <w:color w:val="auto"/>
          <w:sz w:val="18"/>
          <w:szCs w:val="18"/>
        </w:rPr>
        <w:t>Eq.</w:t>
      </w:r>
      <w:r w:rsidR="00783F1E" w:rsidRPr="00EF5168">
        <w:rPr>
          <w:color w:val="auto"/>
          <w:sz w:val="18"/>
          <w:szCs w:val="18"/>
        </w:rPr>
        <w:t>2</w:t>
      </w:r>
    </w:p>
    <w:p w14:paraId="12150A47" w14:textId="77777777" w:rsidR="00EF5168" w:rsidRPr="00EF5168" w:rsidRDefault="00EF5168" w:rsidP="00EF5168">
      <w:pPr>
        <w:pStyle w:val="MDPI31text"/>
        <w:ind w:firstLine="0"/>
      </w:pPr>
    </w:p>
    <w:p w14:paraId="1CEC6FA7" w14:textId="2CECC382" w:rsidR="00783F1E" w:rsidRPr="00EF5168" w:rsidRDefault="001D4AF9" w:rsidP="00EF5168">
      <w:pPr>
        <w:pStyle w:val="MDPI31text"/>
        <w:ind w:firstLine="0"/>
      </w:pPr>
      <w:r w:rsidRPr="00EF5168">
        <w:t xml:space="preserve">with </w:t>
      </w:r>
      <m:oMath>
        <m:sSub>
          <m:sSubPr>
            <m:ctrlPr>
              <w:rPr>
                <w:rFonts w:ascii="Cambria Math" w:hAnsi="Cambria Math"/>
                <w:i/>
                <w:lang w:val="it-IT"/>
              </w:rPr>
            </m:ctrlPr>
          </m:sSubPr>
          <m:e>
            <m:acc>
              <m:accPr>
                <m:chr m:val="̅"/>
                <m:ctrlPr>
                  <w:rPr>
                    <w:rFonts w:ascii="Cambria Math" w:hAnsi="Cambria Math"/>
                    <w:i/>
                    <w:lang w:val="it-IT"/>
                  </w:rPr>
                </m:ctrlPr>
              </m:accPr>
              <m:e>
                <m:r>
                  <m:rPr>
                    <m:sty m:val="bi"/>
                  </m:rPr>
                  <w:rPr>
                    <w:rFonts w:ascii="Cambria Math" w:hAnsi="Cambria Math"/>
                    <w:lang w:val="it-IT"/>
                  </w:rPr>
                  <m:t>I</m:t>
                </m:r>
              </m:e>
            </m:acc>
          </m:e>
          <m:sub>
            <m:r>
              <m:rPr>
                <m:sty m:val="bi"/>
              </m:rPr>
              <w:rPr>
                <w:rFonts w:ascii="Cambria Math" w:hAnsi="Cambria Math"/>
                <w:lang w:val="it-IT"/>
              </w:rPr>
              <m:t>min</m:t>
            </m:r>
          </m:sub>
        </m:sSub>
      </m:oMath>
      <w:r w:rsidRPr="00EF5168">
        <w:t xml:space="preserve"> the average value of the current at minimum concentration of HAV and </w:t>
      </w:r>
      <m:oMath>
        <m:sSub>
          <m:sSubPr>
            <m:ctrlPr>
              <w:rPr>
                <w:rFonts w:ascii="Cambria Math" w:hAnsi="Cambria Math"/>
                <w:i/>
                <w:lang w:val="it-IT"/>
              </w:rPr>
            </m:ctrlPr>
          </m:sSubPr>
          <m:e>
            <m:acc>
              <m:accPr>
                <m:chr m:val="̅"/>
                <m:ctrlPr>
                  <w:rPr>
                    <w:rFonts w:ascii="Cambria Math" w:hAnsi="Cambria Math"/>
                    <w:i/>
                    <w:lang w:val="it-IT"/>
                  </w:rPr>
                </m:ctrlPr>
              </m:accPr>
              <m:e>
                <m:r>
                  <m:rPr>
                    <m:sty m:val="bi"/>
                  </m:rPr>
                  <w:rPr>
                    <w:rFonts w:ascii="Cambria Math" w:hAnsi="Cambria Math"/>
                    <w:lang w:val="it-IT"/>
                  </w:rPr>
                  <m:t>I</m:t>
                </m:r>
              </m:e>
            </m:acc>
          </m:e>
          <m:sub>
            <m:r>
              <m:rPr>
                <m:sty m:val="bi"/>
              </m:rPr>
              <w:rPr>
                <w:rFonts w:ascii="Cambria Math" w:hAnsi="Cambria Math"/>
                <w:lang w:val="it-IT"/>
              </w:rPr>
              <m:t>max</m:t>
            </m:r>
          </m:sub>
        </m:sSub>
      </m:oMath>
      <w:r w:rsidRPr="00EF5168">
        <w:t xml:space="preserve"> the average value of the current at maximum concentration of HAV.</w:t>
      </w:r>
      <w:r w:rsidR="00783F1E" w:rsidRPr="00EF5168">
        <w:t xml:space="preserve"> </w:t>
      </w:r>
    </w:p>
    <w:p w14:paraId="0B8076D0" w14:textId="5C3FA8CF" w:rsidR="00783F1E" w:rsidRPr="00EF5168" w:rsidRDefault="00783F1E" w:rsidP="00EF5168">
      <w:pPr>
        <w:pStyle w:val="MDPI31text"/>
        <w:ind w:firstLine="0"/>
        <w:rPr>
          <w:b/>
        </w:rPr>
      </w:pPr>
      <w:r w:rsidRPr="00EF5168">
        <w:t>The LOD, Eq. 3, and the limit of quantification (LOQ), Eq. 4, were calculated as follows</w:t>
      </w:r>
      <w:r w:rsidR="002147AE" w:rsidRPr="00EF5168">
        <w:t xml:space="preserve"> </w:t>
      </w:r>
      <w:r w:rsidR="002147AE" w:rsidRPr="00EF5168">
        <w:rPr>
          <w:b/>
        </w:rPr>
        <w:fldChar w:fldCharType="begin"/>
      </w:r>
      <w:r w:rsidR="001052A1" w:rsidRPr="00EF5168">
        <w:instrText xml:space="preserve"> ADDIN ZOTERO_ITEM CSL_CITATION {"citationID":"kQTDzpQs","properties":{"formattedCitation":"[30,34]","plainCitation":"[30,34]","noteIndex":0},"citationItems":[{"id":451,"uris":["http://zotero.org/users/local/n3CkrUVW/items/VBWEFYFV"],"itemData":{"id":451,"type":"article-journal","container-title":"Microchemical Journal","DOI":"10.1016/j.microc.2023.108868","ISSN":"0026265X","journalAbbreviation":"Microchemical Journal","language":"en","page":"108868","source":"DOI.org (Crossref)","title":"Nafion-based label-free immunosensor as a reliable warning system: The case of AFB1 detection in cattle feed","title-short":"Nafion-based label-free immunosensor as a reliable warning system","volume":"191","author":[{"family":"Cancelliere","given":"Rocco"},{"family":"Di Tinno","given":"Alessio"},{"family":"Cataldo","given":"Antonino"},{"family":"Bellucci","given":"Stefano"},{"family":"Kumbhat","given":"Sunita"},{"family":"Micheli","given":"Laura"}],"issued":{"date-parts":[["2023",8]]}}},{"id":583,"uris":["http://zotero.org/users/local/n3CkrUVW/items/YPRYCTHJ"],"itemData":{"id":583,"type":"article-journal","abstract":"Interleukin-6 (IL-6) plays a crucial role in autoimmunity and chronic inflammation. This study aims to develop a low-cost, simple-to-manufacture, and user-friendly label-free electrochemical point-of-care device for the rapid detection of IL-6 in patients with psoriasis. Precisely, a sandwich-based format immunosensor was developed using two primary antibodies (mAb-IL6 clone-5 and clone-7) and screen-printed electrodes modified with an inexpensive recycling electrochemical enhancing material, called biochar. mAb-IL6 clone-5 was used as a covalently immobilized capture bioreceptor on modified electrodes, and mAb-IL6 clone-7 was used to recognize the immunocomplex (Anti-IL6 clone-5 and IL-6) and form the sandwich. Cyclic voltammetry (CV) and electrochemical impedance spectroscopy (EIS) were used to conduct electrochemical characterization of the layer-by-layer assembly of the immunosensor, while square wave voltammetry (SWV) was used to perform the sensing. The developed immunosensor demonstrated robust analytical performance in buffer solution, with a wide linear range (LR) by varying from 2 to 250 pg/mL, a good limit of detection (LOD) of 0.78 pg/mL and reproducibility (RSD&amp;lt;7%). In addition, a spectrophotometric ELISA kit was employed to validate the results obtained with the label-free device by analyzing twenty-five serum samples from control and patients affected by psoriasis. A strong correlation in terms of pg/mL concentration of IL-6 was found comparing the two methods, with the advantage for our label-free biosensor of an ease use and a quicker detection time. Based on IL-6 levels, the proposed immunosensor is a dependable, non-invasive screening device capable of predicting disease onset, progression, and treatment efficacy.","container-title":"Frontiers in Chemistry","DOI":"10.3389/fchem.2023.1251360","ISSN":"2296-2646","journalAbbreviation":"Front. Chem.","page":"1251360","source":"DOI.org (Crossref)","title":"Label-free electrochemical immunosensor as a reliable point-of-care device for the detection of Interleukin-6 in serum samples from patients with psoriasis","volume":"11","author":[{"family":"Cancelliere","given":"Rocco"},{"family":"Cosio","given":"Terenzio"},{"family":"Campione","given":"Elena"},{"family":"Corvino","given":"Martina"},{"family":"D’Amico","given":"Maria Pia"},{"family":"Micheli","given":"Laura"},{"family":"Signori","given":"Emanuela"},{"family":"Contini","given":"Giorgio"}],"issued":{"date-parts":[["2023",11,10]]}}}],"schema":"https://github.com/citation-style-language/schema/raw/master/csl-citation.json"} </w:instrText>
      </w:r>
      <w:r w:rsidR="002147AE" w:rsidRPr="00EF5168">
        <w:rPr>
          <w:b/>
        </w:rPr>
        <w:fldChar w:fldCharType="separate"/>
      </w:r>
      <w:r w:rsidR="001052A1" w:rsidRPr="00EF5168">
        <w:t>[30,34]</w:t>
      </w:r>
      <w:r w:rsidR="002147AE" w:rsidRPr="00EF5168">
        <w:rPr>
          <w:b/>
        </w:rPr>
        <w:fldChar w:fldCharType="end"/>
      </w:r>
      <w:r w:rsidRPr="00EF5168">
        <w:t>:</w:t>
      </w:r>
    </w:p>
    <w:p w14:paraId="5A5AB000" w14:textId="0E32409A" w:rsidR="00783F1E" w:rsidRPr="00EF5168" w:rsidRDefault="00783F1E" w:rsidP="00C76F11">
      <w:pPr>
        <w:pStyle w:val="MDPI21heading1"/>
        <w:rPr>
          <w:b w:val="0"/>
          <w:bCs/>
          <w:color w:val="auto"/>
          <w:sz w:val="18"/>
          <w:szCs w:val="18"/>
        </w:rPr>
      </w:pPr>
      <w:bookmarkStart w:id="0" w:name="_Hlk149661993"/>
      <w:r w:rsidRPr="00EF5168">
        <w:rPr>
          <w:b w:val="0"/>
          <w:bCs/>
          <w:color w:val="auto"/>
          <w:sz w:val="18"/>
          <w:szCs w:val="18"/>
        </w:rPr>
        <w:t>LOD =</w:t>
      </w:r>
      <m:oMath>
        <m:r>
          <m:rPr>
            <m:sty m:val="b"/>
          </m:rPr>
          <w:rPr>
            <w:rFonts w:ascii="Cambria Math" w:hAnsi="Cambria Math"/>
            <w:color w:val="auto"/>
            <w:sz w:val="18"/>
            <w:szCs w:val="18"/>
          </w:rPr>
          <m:t xml:space="preserve"> </m:t>
        </m:r>
        <m:r>
          <m:rPr>
            <m:sty m:val="bi"/>
          </m:rPr>
          <w:rPr>
            <w:rFonts w:ascii="Cambria Math" w:hAnsi="Cambria Math"/>
            <w:color w:val="auto"/>
            <w:sz w:val="18"/>
            <w:szCs w:val="18"/>
          </w:rPr>
          <m:t>SB</m:t>
        </m:r>
        <m:r>
          <m:rPr>
            <m:sty m:val="b"/>
          </m:rPr>
          <w:rPr>
            <w:rFonts w:ascii="Cambria Math" w:hAnsi="Cambria Math"/>
            <w:color w:val="auto"/>
            <w:sz w:val="18"/>
            <w:szCs w:val="18"/>
          </w:rPr>
          <m:t xml:space="preserve">+3 </m:t>
        </m:r>
        <m:r>
          <m:rPr>
            <m:sty m:val="bi"/>
          </m:rPr>
          <w:rPr>
            <w:rFonts w:ascii="Cambria Math" w:hAnsi="Cambria Math"/>
            <w:color w:val="auto"/>
            <w:sz w:val="18"/>
            <w:szCs w:val="18"/>
          </w:rPr>
          <m:t>SD</m:t>
        </m:r>
      </m:oMath>
      <w:r w:rsidRPr="00EF5168">
        <w:rPr>
          <w:b w:val="0"/>
          <w:bCs/>
          <w:color w:val="auto"/>
          <w:sz w:val="18"/>
          <w:szCs w:val="18"/>
        </w:rPr>
        <w:t xml:space="preserve"> </w:t>
      </w:r>
      <w:r w:rsidR="00C76F11" w:rsidRPr="00EF5168">
        <w:rPr>
          <w:b w:val="0"/>
          <w:bCs/>
          <w:color w:val="auto"/>
          <w:sz w:val="18"/>
          <w:szCs w:val="18"/>
        </w:rPr>
        <w:tab/>
      </w:r>
      <w:r w:rsidR="00C76F11" w:rsidRPr="00EF5168">
        <w:rPr>
          <w:b w:val="0"/>
          <w:bCs/>
          <w:color w:val="auto"/>
          <w:sz w:val="18"/>
          <w:szCs w:val="18"/>
        </w:rPr>
        <w:tab/>
      </w:r>
      <w:r w:rsidR="00C76F11" w:rsidRPr="00EF5168">
        <w:rPr>
          <w:b w:val="0"/>
          <w:bCs/>
          <w:color w:val="auto"/>
          <w:sz w:val="18"/>
          <w:szCs w:val="18"/>
        </w:rPr>
        <w:tab/>
      </w:r>
      <w:r w:rsidR="00C76F11" w:rsidRPr="00EF5168">
        <w:rPr>
          <w:b w:val="0"/>
          <w:bCs/>
          <w:color w:val="auto"/>
          <w:sz w:val="18"/>
          <w:szCs w:val="18"/>
        </w:rPr>
        <w:tab/>
      </w:r>
      <w:r w:rsidR="00C76F11" w:rsidRPr="00EF5168">
        <w:rPr>
          <w:b w:val="0"/>
          <w:bCs/>
          <w:color w:val="auto"/>
          <w:sz w:val="18"/>
          <w:szCs w:val="18"/>
        </w:rPr>
        <w:tab/>
      </w:r>
      <w:r w:rsidR="00C76F11" w:rsidRPr="00EF5168">
        <w:rPr>
          <w:b w:val="0"/>
          <w:bCs/>
          <w:color w:val="auto"/>
          <w:sz w:val="18"/>
          <w:szCs w:val="18"/>
        </w:rPr>
        <w:tab/>
      </w:r>
      <w:r w:rsidRPr="00EF5168">
        <w:rPr>
          <w:b w:val="0"/>
          <w:bCs/>
          <w:color w:val="auto"/>
          <w:sz w:val="18"/>
          <w:szCs w:val="18"/>
        </w:rPr>
        <w:t>Eq.3</w:t>
      </w:r>
      <w:bookmarkEnd w:id="0"/>
    </w:p>
    <w:p w14:paraId="0D3D62C1" w14:textId="45C4E71F" w:rsidR="00783F1E" w:rsidRPr="00EF5168" w:rsidRDefault="00783F1E" w:rsidP="00C76F11">
      <w:pPr>
        <w:pStyle w:val="MDPI21heading1"/>
        <w:rPr>
          <w:b w:val="0"/>
          <w:bCs/>
          <w:color w:val="auto"/>
          <w:sz w:val="18"/>
          <w:szCs w:val="18"/>
          <w:lang w:val="en-GB"/>
        </w:rPr>
      </w:pPr>
      <w:r w:rsidRPr="00EF5168">
        <w:rPr>
          <w:b w:val="0"/>
          <w:bCs/>
          <w:color w:val="auto"/>
          <w:sz w:val="18"/>
          <w:szCs w:val="18"/>
          <w:lang w:val="en-GB"/>
        </w:rPr>
        <w:lastRenderedPageBreak/>
        <w:t>LOQ =</w:t>
      </w:r>
      <m:oMath>
        <m:r>
          <m:rPr>
            <m:sty m:val="b"/>
          </m:rPr>
          <w:rPr>
            <w:rFonts w:ascii="Cambria Math" w:hAnsi="Cambria Math"/>
            <w:color w:val="auto"/>
            <w:sz w:val="18"/>
            <w:szCs w:val="18"/>
            <w:lang w:val="en-GB"/>
          </w:rPr>
          <m:t xml:space="preserve"> </m:t>
        </m:r>
        <m:r>
          <m:rPr>
            <m:sty m:val="bi"/>
          </m:rPr>
          <w:rPr>
            <w:rFonts w:ascii="Cambria Math" w:hAnsi="Cambria Math"/>
            <w:color w:val="auto"/>
            <w:sz w:val="18"/>
            <w:szCs w:val="18"/>
          </w:rPr>
          <m:t>SB</m:t>
        </m:r>
        <m:r>
          <m:rPr>
            <m:sty m:val="b"/>
          </m:rPr>
          <w:rPr>
            <w:rFonts w:ascii="Cambria Math" w:hAnsi="Cambria Math"/>
            <w:color w:val="auto"/>
            <w:sz w:val="18"/>
            <w:szCs w:val="18"/>
            <w:lang w:val="en-GB"/>
          </w:rPr>
          <m:t>+</m:t>
        </m:r>
        <m:r>
          <m:rPr>
            <m:sty m:val="b"/>
          </m:rPr>
          <w:rPr>
            <w:rFonts w:ascii="Cambria Math" w:hAnsi="Cambria Math"/>
            <w:color w:val="auto"/>
            <w:sz w:val="18"/>
            <w:szCs w:val="18"/>
          </w:rPr>
          <m:t>10</m:t>
        </m:r>
        <m:r>
          <m:rPr>
            <m:sty m:val="b"/>
          </m:rPr>
          <w:rPr>
            <w:rFonts w:ascii="Cambria Math" w:hAnsi="Cambria Math"/>
            <w:color w:val="auto"/>
            <w:sz w:val="18"/>
            <w:szCs w:val="18"/>
            <w:lang w:val="en-GB"/>
          </w:rPr>
          <m:t xml:space="preserve"> </m:t>
        </m:r>
        <m:r>
          <m:rPr>
            <m:sty m:val="bi"/>
          </m:rPr>
          <w:rPr>
            <w:rFonts w:ascii="Cambria Math" w:hAnsi="Cambria Math"/>
            <w:color w:val="auto"/>
            <w:sz w:val="18"/>
            <w:szCs w:val="18"/>
          </w:rPr>
          <m:t>SD</m:t>
        </m:r>
      </m:oMath>
      <w:r w:rsidRPr="00EF5168">
        <w:rPr>
          <w:b w:val="0"/>
          <w:bCs/>
          <w:color w:val="auto"/>
          <w:sz w:val="18"/>
          <w:szCs w:val="18"/>
          <w:lang w:val="en-GB"/>
        </w:rPr>
        <w:t xml:space="preserve"> </w:t>
      </w:r>
      <w:r w:rsidR="00C76F11" w:rsidRPr="00EF5168">
        <w:rPr>
          <w:b w:val="0"/>
          <w:bCs/>
          <w:color w:val="auto"/>
          <w:sz w:val="18"/>
          <w:szCs w:val="18"/>
          <w:lang w:val="en-GB"/>
        </w:rPr>
        <w:tab/>
      </w:r>
      <w:r w:rsidR="00C76F11" w:rsidRPr="00EF5168">
        <w:rPr>
          <w:b w:val="0"/>
          <w:bCs/>
          <w:color w:val="auto"/>
          <w:sz w:val="18"/>
          <w:szCs w:val="18"/>
          <w:lang w:val="en-GB"/>
        </w:rPr>
        <w:tab/>
      </w:r>
      <w:r w:rsidR="00C76F11" w:rsidRPr="00EF5168">
        <w:rPr>
          <w:b w:val="0"/>
          <w:bCs/>
          <w:color w:val="auto"/>
          <w:sz w:val="18"/>
          <w:szCs w:val="18"/>
          <w:lang w:val="en-GB"/>
        </w:rPr>
        <w:tab/>
      </w:r>
      <w:r w:rsidR="00C76F11" w:rsidRPr="00EF5168">
        <w:rPr>
          <w:b w:val="0"/>
          <w:bCs/>
          <w:color w:val="auto"/>
          <w:sz w:val="18"/>
          <w:szCs w:val="18"/>
          <w:lang w:val="en-GB"/>
        </w:rPr>
        <w:tab/>
      </w:r>
      <w:r w:rsidR="00C76F11" w:rsidRPr="00EF5168">
        <w:rPr>
          <w:b w:val="0"/>
          <w:bCs/>
          <w:color w:val="auto"/>
          <w:sz w:val="18"/>
          <w:szCs w:val="18"/>
          <w:lang w:val="en-GB"/>
        </w:rPr>
        <w:tab/>
      </w:r>
      <w:r w:rsidR="00C76F11" w:rsidRPr="00EF5168">
        <w:rPr>
          <w:b w:val="0"/>
          <w:bCs/>
          <w:color w:val="auto"/>
          <w:sz w:val="18"/>
          <w:szCs w:val="18"/>
          <w:lang w:val="en-GB"/>
        </w:rPr>
        <w:tab/>
      </w:r>
      <w:r w:rsidRPr="00EF5168">
        <w:rPr>
          <w:b w:val="0"/>
          <w:bCs/>
          <w:color w:val="auto"/>
          <w:sz w:val="18"/>
          <w:szCs w:val="18"/>
          <w:lang w:val="en-GB"/>
        </w:rPr>
        <w:t>Eq.4</w:t>
      </w:r>
    </w:p>
    <w:p w14:paraId="671495EE" w14:textId="0304039E" w:rsidR="009C27FD" w:rsidRPr="00EF5168" w:rsidRDefault="00783F1E" w:rsidP="00EF5168">
      <w:pPr>
        <w:pStyle w:val="MDPI31text"/>
        <w:ind w:firstLine="0"/>
        <w:rPr>
          <w:b/>
        </w:rPr>
      </w:pPr>
      <w:r w:rsidRPr="00EF5168">
        <w:t>where SB is the signal measured in the absence of HAV and SD is the standard deviation of the blank (10 replications).</w:t>
      </w:r>
    </w:p>
    <w:p w14:paraId="53B7EAF6" w14:textId="559FF58A" w:rsidR="00936915" w:rsidRPr="00EF5168" w:rsidRDefault="00EF5168" w:rsidP="00EF5168">
      <w:pPr>
        <w:pStyle w:val="MDPI21heading1"/>
      </w:pPr>
      <w:r w:rsidRPr="00EF5168">
        <w:t xml:space="preserve">3. </w:t>
      </w:r>
      <w:r w:rsidR="00936915" w:rsidRPr="00EF5168">
        <w:t>Results</w:t>
      </w:r>
      <w:r w:rsidR="00EB0B34" w:rsidRPr="00EF5168">
        <w:t xml:space="preserve"> and discussion</w:t>
      </w:r>
    </w:p>
    <w:p w14:paraId="41323AAB" w14:textId="2EAF45D8" w:rsidR="002007F4" w:rsidRPr="00EF5168" w:rsidRDefault="00EF5168" w:rsidP="00EF5168">
      <w:pPr>
        <w:pStyle w:val="MDPI22heading2"/>
      </w:pPr>
      <w:r w:rsidRPr="00EF5168">
        <w:t xml:space="preserve">3.1. </w:t>
      </w:r>
      <w:r w:rsidR="002007F4" w:rsidRPr="00EF5168">
        <w:t>ELIME</w:t>
      </w:r>
      <w:r w:rsidR="00BC590B" w:rsidRPr="00EF5168">
        <w:t xml:space="preserve"> optimization</w:t>
      </w:r>
    </w:p>
    <w:p w14:paraId="51BDBB3B" w14:textId="1CCA10B5" w:rsidR="00AE44C8" w:rsidRPr="00EF5168" w:rsidRDefault="00AE44C8" w:rsidP="00EF5168">
      <w:pPr>
        <w:pStyle w:val="MDPI31text"/>
        <w:rPr>
          <w:b/>
        </w:rPr>
      </w:pPr>
      <w:r w:rsidRPr="00EF5168">
        <w:t xml:space="preserve">In this paper, a rapid system for HAV </w:t>
      </w:r>
      <w:r w:rsidR="00CE19A3" w:rsidRPr="00EF5168">
        <w:t>detection</w:t>
      </w:r>
      <w:r w:rsidRPr="00EF5168">
        <w:t xml:space="preserve">, based on ELIME assay, </w:t>
      </w:r>
      <w:r w:rsidR="00CE19A3" w:rsidRPr="00EF5168">
        <w:t>was</w:t>
      </w:r>
      <w:r w:rsidRPr="00EF5168">
        <w:t xml:space="preserve"> evaluated. The system is</w:t>
      </w:r>
      <w:r w:rsidR="0058133E" w:rsidRPr="00EF5168">
        <w:t xml:space="preserve"> based on the use of Goat Anti-Mouse IgG magnetic beads as a solid support for the immunochemical chain, using an array of 8 screen-printed electrodes (SPEs) as sensing platforms. An alkaline phosphatase-labelled anti-HAV monoclonal antibody (MAb-AP) was used as an electroactive reporter and to complete the immunological chain formed by HAV and primary monoclonal antibody against HAV (MAbI), immobilized directly on magnetic beads to reveal the sandwich complex. The magnetic beads were kept on SPEs with the support of a magnet and the enzyme-substrate 1-naphthyl-phosphate (1-NPP) was added to measure the electroactive product. For this goal, analytical parameters were optimized. To establish the best conditions for the sandwich ELIME, different dilutions of MAbI were tested using a fixed concentration of HAV (10-8 UI/mL), 3% Dry Milk (DM) as a blocking agent and MAb-AP diluted 1:10000 (v/v) in PBS with incubation times of 45 minutes (parameters from previous stud</w:t>
      </w:r>
      <w:r w:rsidR="00D700B1" w:rsidRPr="00EF5168">
        <w:t>ies)</w:t>
      </w:r>
      <w:r w:rsidR="0058133E" w:rsidRPr="00EF5168">
        <w:t xml:space="preserve"> </w:t>
      </w:r>
      <w:r w:rsidR="00D700B1" w:rsidRPr="00EF5168">
        <w:rPr>
          <w:b/>
        </w:rPr>
        <w:fldChar w:fldCharType="begin"/>
      </w:r>
      <w:r w:rsidR="00EA44A7" w:rsidRPr="00EF5168">
        <w:instrText xml:space="preserve"> ADDIN ZOTERO_ITEM CSL_CITATION {"citationID":"o0FP8uZJ","properties":{"formattedCitation":"[18]","plainCitation":"[18]","dontUpdate":true,"noteIndex":0},"citationItems":[{"id":131,"uris":["http://zotero.org/users/local/n3CkrUVW/items/GRBPPL83"],"itemData":{"id":131,"type":"article-journal","abstract":"An Enzyme Linked ImmunoMagnetic Electrochemical assay (ELIME) was developed for the detection of the hepatitis A virus (HAV). This system is based on the use of new polydopamine-modified magnetic nanobeads as solid support for the immunochemical chain, and an array of 8 screen-printed electrodes as a sensing platform. Enzymatic-by-product is quickly measured by differential pulse voltammetry. For this purpose, all analytical parameters were optimized; in particular, different blocking reagents were evaluated in order to minimize the nonspecific interaction of bioreagents. Using the ELIME assays, a quantitative determination of HAV can be achieved with a detection limit of 1·10−11 IU mL−1 and a working range between 10−10 – 5 × 10−7 IU mL−1. The cross-reactivity of the commercial monoclonal antibodies against HAV used in ELIME assays was tested for Coxsackie B4, resulting very low. The sensitivity was also investigated and compared with spectrophotometric sandwich ELISA. The average relative standard deviation (RSD) of the ELIME method was less than 5% for the assays performed on the same day, and 7% for the measurements made on different days. The proposed system was applied to the cell culture of HAV, which title was quantified by Real-Time Quantitative Reverse Transcription PCR (RT¬qPCR). To compare the results, a correlation between the units used in ELIME (IU mL−1) and those used in RT¬qPCR (genome mL−1) was established using a HAV-positive sample, resulting in 1 IU mL−1–10−4 gen mL−1 (R2 = 0.978). The ELIME tool exhibits good stability and high biological selectivity for HAV antigen detection and was successfully applied for the determination of HAV in tap water.","container-title":"Talanta","DOI":"10.1016/j.talanta.2021.122672","ISSN":"0039-9140","journalAbbreviation":"Talanta","page":"122672","title":"An ELIME assay for hepatitis A virus detection","volume":"234","author":[{"family":"Micheli","given":"Laura"},{"family":"Fasoli","given":"Andrea"},{"family":"Attar","given":"Aisha"},{"family":"Donia","given":"Domenica T."},{"family":"Divizia","given":"Maurizio"},{"family":"Amine","given":"Aziz"},{"family":"Palleschi","given":"Giuseppe"},{"family":"Salazar Carballo","given":"Pedro A."},{"family":"Moscone","given":"Danila"}],"issued":{"date-parts":[["2021",11,1]]}}}],"schema":"https://github.com/citation-style-language/schema/raw/master/csl-citation.json"} </w:instrText>
      </w:r>
      <w:r w:rsidR="00D700B1" w:rsidRPr="00EF5168">
        <w:rPr>
          <w:b/>
        </w:rPr>
        <w:fldChar w:fldCharType="separate"/>
      </w:r>
      <w:r w:rsidR="00D700B1" w:rsidRPr="00EF5168">
        <w:t>[</w:t>
      </w:r>
      <w:r w:rsidR="005C6679" w:rsidRPr="00EF5168">
        <w:t>21</w:t>
      </w:r>
      <w:r w:rsidR="00D700B1" w:rsidRPr="00EF5168">
        <w:t>]</w:t>
      </w:r>
      <w:r w:rsidR="00D700B1" w:rsidRPr="00EF5168">
        <w:rPr>
          <w:b/>
        </w:rPr>
        <w:fldChar w:fldCharType="end"/>
      </w:r>
      <w:r w:rsidR="002F2B7C" w:rsidRPr="00EF5168">
        <w:t xml:space="preserve"> </w:t>
      </w:r>
      <w:r w:rsidR="0058133E" w:rsidRPr="00EF5168">
        <w:t xml:space="preserve">(Figure 3). The maximum electrochemical signals were observed at a concentration of </w:t>
      </w:r>
      <w:r w:rsidR="00412EE9" w:rsidRPr="00EF5168">
        <w:t xml:space="preserve">10 μg/mL </w:t>
      </w:r>
      <w:r w:rsidR="0058133E" w:rsidRPr="00EF5168">
        <w:t>MAbI, whereas no further current increase was observed at higher concentrations.</w:t>
      </w:r>
    </w:p>
    <w:p w14:paraId="76C4946E" w14:textId="77777777" w:rsidR="00AE44C8" w:rsidRPr="00EF5168" w:rsidRDefault="0058133E" w:rsidP="00EF5168">
      <w:pPr>
        <w:pStyle w:val="MDPI52figure"/>
        <w:ind w:left="2608"/>
        <w:jc w:val="left"/>
      </w:pPr>
      <w:r w:rsidRPr="00EF5168">
        <w:rPr>
          <w:noProof/>
          <w:lang w:val="en-GB"/>
        </w:rPr>
        <w:drawing>
          <wp:inline distT="0" distB="0" distL="0" distR="0" wp14:anchorId="4D6BE014" wp14:editId="6BA8D351">
            <wp:extent cx="3009900" cy="2335566"/>
            <wp:effectExtent l="0" t="0" r="0" b="762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22555" cy="2345386"/>
                    </a:xfrm>
                    <a:prstGeom prst="rect">
                      <a:avLst/>
                    </a:prstGeom>
                    <a:noFill/>
                  </pic:spPr>
                </pic:pic>
              </a:graphicData>
            </a:graphic>
          </wp:inline>
        </w:drawing>
      </w:r>
    </w:p>
    <w:p w14:paraId="6E7F4388" w14:textId="21B45FB4" w:rsidR="00AE44C8" w:rsidRPr="00EF5168" w:rsidRDefault="00EF5168" w:rsidP="00EF5168">
      <w:pPr>
        <w:pStyle w:val="MDPI51figurecaption"/>
        <w:rPr>
          <w:b/>
        </w:rPr>
      </w:pPr>
      <w:r w:rsidRPr="00EF5168">
        <w:rPr>
          <w:b/>
        </w:rPr>
        <w:t xml:space="preserve">Figure 3. </w:t>
      </w:r>
      <w:r w:rsidR="0058133E" w:rsidRPr="00EF5168">
        <w:t>Effect of MAbI concentration on the signal. 3% Dry Milk (DM), [MAbI] 0, 5, 10, 15 μg/mL, [HAV] 10</w:t>
      </w:r>
      <w:r w:rsidR="0058133E" w:rsidRPr="00EF5168">
        <w:rPr>
          <w:vertAlign w:val="superscript"/>
        </w:rPr>
        <w:t>-8</w:t>
      </w:r>
      <w:r w:rsidR="0058133E" w:rsidRPr="00EF5168">
        <w:t xml:space="preserve"> UI/mL, [MAb-AP] 1:10000 (v/v) in PBS, 5 mg/mL 1-NPP; DPV measurement potential range 0-600 mV, the pulse width of 50 ms, pulse amplitude of 70 mV and a scan rate of 100 mV/s.</w:t>
      </w:r>
    </w:p>
    <w:p w14:paraId="1DD38D02" w14:textId="478F9211" w:rsidR="00AE44C8" w:rsidRPr="00EF5168" w:rsidRDefault="00B14CE0" w:rsidP="00EF5168">
      <w:pPr>
        <w:pStyle w:val="MDPI31text"/>
        <w:rPr>
          <w:b/>
        </w:rPr>
      </w:pPr>
      <w:r w:rsidRPr="00EF5168">
        <w:t>Different blocking agents were evaluated to reduce non</w:t>
      </w:r>
      <w:r w:rsidR="001A093E" w:rsidRPr="00EF5168">
        <w:t>-</w:t>
      </w:r>
      <w:r w:rsidRPr="00EF5168">
        <w:t>specific adsorption onto the surface of coated beads. 3% Bovine Serum Albumin (BSA), 3% Dry Milk (DM) and 1% Polyvinyl Alcohol (PVA) were tested by adding MAb-AP diluted 1:5000, 1:10000, 1:25000 (v/v) in PBS with no other bioreagent. The experimental results (Figure 4) revealed that BSA is the most effective blocking agent for MAb-AP diluted 1:25000 (v/v) in PBS from the stock solution.</w:t>
      </w:r>
    </w:p>
    <w:p w14:paraId="57D5456A" w14:textId="77777777" w:rsidR="00B14CE0" w:rsidRPr="00EF5168" w:rsidRDefault="00B14CE0" w:rsidP="00EF5168">
      <w:pPr>
        <w:pStyle w:val="MDPI52figure"/>
        <w:ind w:left="2608"/>
        <w:jc w:val="left"/>
        <w:rPr>
          <w:sz w:val="18"/>
          <w:szCs w:val="18"/>
        </w:rPr>
      </w:pPr>
      <w:r w:rsidRPr="00EF5168">
        <w:rPr>
          <w:noProof/>
          <w:lang w:val="en-GB"/>
        </w:rPr>
        <w:lastRenderedPageBreak/>
        <w:drawing>
          <wp:inline distT="0" distB="0" distL="0" distR="0" wp14:anchorId="5A88768B" wp14:editId="7DB70104">
            <wp:extent cx="3638550" cy="2745435"/>
            <wp:effectExtent l="0" t="0" r="0" b="0"/>
            <wp:docPr id="14" name="Immagine 14" descr="C:\Users\Cristine\Desktop\B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ristine\Desktop\BSA.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87693" cy="2782515"/>
                    </a:xfrm>
                    <a:prstGeom prst="rect">
                      <a:avLst/>
                    </a:prstGeom>
                    <a:noFill/>
                    <a:ln>
                      <a:noFill/>
                    </a:ln>
                  </pic:spPr>
                </pic:pic>
              </a:graphicData>
            </a:graphic>
          </wp:inline>
        </w:drawing>
      </w:r>
    </w:p>
    <w:p w14:paraId="2BD4DC7C" w14:textId="095E053B" w:rsidR="00B14CE0" w:rsidRPr="00EF5168" w:rsidRDefault="00EF5168" w:rsidP="00EF5168">
      <w:pPr>
        <w:pStyle w:val="MDPI51figurecaption"/>
      </w:pPr>
      <w:r w:rsidRPr="00EF5168">
        <w:rPr>
          <w:b/>
        </w:rPr>
        <w:t xml:space="preserve">Figure 4. </w:t>
      </w:r>
      <w:r w:rsidR="00B14CE0" w:rsidRPr="00EF5168">
        <w:t>Study of the blocking reagent at different concentrations of MAb-AP. 3% BSA, 3% DM and 1% PVA, [MAb-AP] 1:5000, 1:10000, 1:25000 (v/v) in PBS, 5 mg/mL 1-NPP; DPV measurement potential range 0-600 mV, pulse width of 50 ms, pulse amplitude of 70 mV and scan rate of 100 mV/s.</w:t>
      </w:r>
    </w:p>
    <w:p w14:paraId="1DD439BA" w14:textId="1FD25087" w:rsidR="00BC590B" w:rsidRPr="00EF5168" w:rsidRDefault="00EF5168" w:rsidP="00EF5168">
      <w:pPr>
        <w:pStyle w:val="MDPI22heading2"/>
        <w:spacing w:before="240"/>
      </w:pPr>
      <w:r w:rsidRPr="00EF5168">
        <w:t xml:space="preserve">3.2. </w:t>
      </w:r>
      <w:r w:rsidR="00BC590B" w:rsidRPr="00EF5168">
        <w:t xml:space="preserve">Analytical </w:t>
      </w:r>
      <w:r w:rsidR="00CE19A3" w:rsidRPr="00EF5168">
        <w:t>p</w:t>
      </w:r>
      <w:r w:rsidR="00BC590B" w:rsidRPr="00EF5168">
        <w:t>erformances in buffer and real sample solution</w:t>
      </w:r>
    </w:p>
    <w:p w14:paraId="1F3A54DC" w14:textId="3E022260" w:rsidR="002821E4" w:rsidRPr="00EF5168" w:rsidRDefault="002821E4" w:rsidP="00EF5168">
      <w:pPr>
        <w:pStyle w:val="MDPI31text"/>
      </w:pPr>
      <w:r w:rsidRPr="00EF5168">
        <w:t>After optimizing the antibody concentration and the blocking agent, a calibration curve was constructed using HAV strain HM175 (Figure 5). Th</w:t>
      </w:r>
      <w:r w:rsidR="00CE19A3" w:rsidRPr="00EF5168">
        <w:t>is</w:t>
      </w:r>
      <w:r w:rsidRPr="00EF5168">
        <w:t xml:space="preserve"> ELIME assay achieve</w:t>
      </w:r>
      <w:r w:rsidR="00CE19A3" w:rsidRPr="00EF5168">
        <w:t>s</w:t>
      </w:r>
      <w:r w:rsidRPr="00EF5168">
        <w:t xml:space="preserve"> a detection limit (LOD) of 0.5 g.c./mL for the quantitative determination of HAV.</w:t>
      </w:r>
    </w:p>
    <w:p w14:paraId="04665C67" w14:textId="77777777" w:rsidR="00B14CE0" w:rsidRPr="00EF5168" w:rsidRDefault="002821E4" w:rsidP="00EF5168">
      <w:pPr>
        <w:pStyle w:val="MDPI52figure"/>
        <w:ind w:left="2608"/>
        <w:jc w:val="left"/>
      </w:pPr>
      <w:r w:rsidRPr="00EF5168">
        <w:rPr>
          <w:noProof/>
          <w:lang w:val="en-GB"/>
        </w:rPr>
        <w:drawing>
          <wp:inline distT="0" distB="0" distL="0" distR="0" wp14:anchorId="58F01CED" wp14:editId="30F1488A">
            <wp:extent cx="3088228" cy="2447925"/>
            <wp:effectExtent l="0" t="0" r="0" b="0"/>
            <wp:docPr id="15" name="Immagine 15" descr="C:\Users\Cristine\Desktop\ARTICOLO CRISTINE\sigmo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ristine\Desktop\ARTICOLO CRISTINE\sigmoid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96718" cy="2454654"/>
                    </a:xfrm>
                    <a:prstGeom prst="rect">
                      <a:avLst/>
                    </a:prstGeom>
                    <a:noFill/>
                    <a:ln>
                      <a:noFill/>
                    </a:ln>
                  </pic:spPr>
                </pic:pic>
              </a:graphicData>
            </a:graphic>
          </wp:inline>
        </w:drawing>
      </w:r>
    </w:p>
    <w:p w14:paraId="65F37F4E" w14:textId="77777777" w:rsidR="002821E4" w:rsidRPr="00EF5168" w:rsidRDefault="002821E4" w:rsidP="0000048C">
      <w:pPr>
        <w:pStyle w:val="MDPI31text"/>
      </w:pPr>
    </w:p>
    <w:p w14:paraId="4967D3C3" w14:textId="55D5BBEF" w:rsidR="008B0FE6" w:rsidRPr="00EF5168" w:rsidRDefault="00EF5168" w:rsidP="00EF5168">
      <w:pPr>
        <w:pStyle w:val="MDPI51figurecaption"/>
      </w:pPr>
      <w:r w:rsidRPr="00EF5168">
        <w:rPr>
          <w:b/>
        </w:rPr>
        <w:t xml:space="preserve">Figure 5. </w:t>
      </w:r>
      <w:r w:rsidR="008B0FE6" w:rsidRPr="00EF5168">
        <w:t>Calibration curve for HAV. [MAb</w:t>
      </w:r>
      <w:r w:rsidR="008B0FE6" w:rsidRPr="00EF5168">
        <w:rPr>
          <w:vertAlign w:val="subscript"/>
        </w:rPr>
        <w:t>I</w:t>
      </w:r>
      <w:r w:rsidR="008B0FE6" w:rsidRPr="00EF5168">
        <w:t>] 10 μg/mL, 3% BSA, [HAV] 0-10 g.</w:t>
      </w:r>
      <w:r w:rsidR="0010374B" w:rsidRPr="00EF5168">
        <w:t>c.</w:t>
      </w:r>
      <w:r w:rsidR="008B0FE6" w:rsidRPr="00EF5168">
        <w:t>/mL, [MAb-AP] 1:25000 (v/v), 5 mg/mL 1-NPP; DPV measurement potential range 0-600 mV, the pulse width of 50 ms, pulse amplitude of 70 mV and a scan rate of 100 mV/s. Parameters: a=96.53, b=-3.03, x</w:t>
      </w:r>
      <w:r w:rsidR="008B0FE6" w:rsidRPr="00EF5168">
        <w:rPr>
          <w:vertAlign w:val="subscript"/>
        </w:rPr>
        <w:t>0</w:t>
      </w:r>
      <w:r w:rsidR="008B0FE6" w:rsidRPr="00EF5168">
        <w:t>=0.89,y</w:t>
      </w:r>
      <w:r w:rsidR="008B0FE6" w:rsidRPr="00EF5168">
        <w:rPr>
          <w:vertAlign w:val="subscript"/>
        </w:rPr>
        <w:t>o</w:t>
      </w:r>
      <w:r w:rsidR="008B0FE6" w:rsidRPr="00EF5168">
        <w:t>=-0.18. LOD=0.5 g.c./mL, RSD% 7%.</w:t>
      </w:r>
    </w:p>
    <w:p w14:paraId="704FC3E5" w14:textId="5AFD1C89" w:rsidR="00726598" w:rsidRPr="00EF5168" w:rsidRDefault="00726598" w:rsidP="00EF5168">
      <w:pPr>
        <w:pStyle w:val="MDPI31text"/>
      </w:pPr>
      <w:r w:rsidRPr="00EF5168">
        <w:t xml:space="preserve">To investigate the applicability of the proposed methods for practical analysis, the immunosensor was used to evaluate the detection of different concentrations of HAV spiked in drinking water samples and in water used for </w:t>
      </w:r>
      <w:r w:rsidR="00CE19A3" w:rsidRPr="00EF5168">
        <w:t xml:space="preserve">ready-to-eat </w:t>
      </w:r>
      <w:r w:rsidR="003D49AA" w:rsidRPr="00EF5168">
        <w:t>vegetable</w:t>
      </w:r>
      <w:r w:rsidRPr="00EF5168">
        <w:t xml:space="preserve"> processing (washing). Results were compared </w:t>
      </w:r>
      <w:r w:rsidR="001A093E" w:rsidRPr="00EF5168">
        <w:t xml:space="preserve">with </w:t>
      </w:r>
      <w:r w:rsidRPr="00EF5168">
        <w:t xml:space="preserve">those obtained by the standard real-time RT-qPCR analysis (ISO 15216-1:2017) </w:t>
      </w:r>
      <w:r w:rsidRPr="00EF5168">
        <w:rPr>
          <w:bCs/>
        </w:rPr>
        <w:t>[7]</w:t>
      </w:r>
      <w:r w:rsidRPr="00EF5168">
        <w:t xml:space="preserve"> </w:t>
      </w:r>
      <w:r w:rsidR="001A093E" w:rsidRPr="00EF5168">
        <w:t xml:space="preserve">which is </w:t>
      </w:r>
      <w:r w:rsidRPr="00EF5168">
        <w:t xml:space="preserve">typically used to estimate the presence of HAV in food and water samples. </w:t>
      </w:r>
      <w:r w:rsidR="003D49AA" w:rsidRPr="00EF5168">
        <w:t>To</w:t>
      </w:r>
      <w:r w:rsidRPr="00EF5168">
        <w:t xml:space="preserve"> compare the results of the two methods (ELIME and </w:t>
      </w:r>
      <w:r w:rsidRPr="00EF5168">
        <w:lastRenderedPageBreak/>
        <w:t xml:space="preserve">RT-qPCR), a correlation was established </w:t>
      </w:r>
      <w:r w:rsidR="005758FC" w:rsidRPr="00EF5168">
        <w:t xml:space="preserve">on the HM175/18f strain supplied by ISS </w:t>
      </w:r>
      <w:r w:rsidRPr="00EF5168">
        <w:t>between the units used in ELIME</w:t>
      </w:r>
      <w:r w:rsidR="00B87E60" w:rsidRPr="00EF5168">
        <w:t xml:space="preserve"> </w:t>
      </w:r>
      <w:r w:rsidRPr="00EF5168">
        <w:t>(IU/mL) and those used in RT-qPCR (g.c./mL), revealing that 1</w:t>
      </w:r>
      <w:r w:rsidR="00E2168B" w:rsidRPr="00EF5168">
        <w:t xml:space="preserve"> </w:t>
      </w:r>
      <w:r w:rsidRPr="00EF5168">
        <w:t>UI/mL=2×10</w:t>
      </w:r>
      <w:r w:rsidRPr="00EF5168">
        <w:rPr>
          <w:vertAlign w:val="superscript"/>
        </w:rPr>
        <w:t>6</w:t>
      </w:r>
      <w:r w:rsidRPr="00EF5168">
        <w:t xml:space="preserve"> g.c./mL with R</w:t>
      </w:r>
      <w:r w:rsidRPr="00EF5168">
        <w:rPr>
          <w:vertAlign w:val="superscript"/>
        </w:rPr>
        <w:t>2</w:t>
      </w:r>
      <w:r w:rsidRPr="00EF5168">
        <w:t>=0.997.</w:t>
      </w:r>
    </w:p>
    <w:p w14:paraId="4384C6FA" w14:textId="54AE6686" w:rsidR="00986879" w:rsidRPr="00EF5168" w:rsidRDefault="00976098" w:rsidP="00EF5168">
      <w:pPr>
        <w:pStyle w:val="MDPI31text"/>
      </w:pPr>
      <w:r w:rsidRPr="00EF5168">
        <w:t xml:space="preserve"> </w:t>
      </w:r>
      <w:r w:rsidR="00986879" w:rsidRPr="00EF5168">
        <w:t xml:space="preserve">In experimentally contaminated water samples, the ELIME assay detected HAV at the lowest spiking level (L2) in both </w:t>
      </w:r>
      <w:r w:rsidR="001A093E" w:rsidRPr="00EF5168">
        <w:t xml:space="preserve">types </w:t>
      </w:r>
      <w:r w:rsidR="00986879" w:rsidRPr="00EF5168">
        <w:t>of water samples (Tables 1-2), demonstrating a greater sensitivity than the ISO 15216-1 method and validating a detection limit of 0.5 g.c./mL</w:t>
      </w:r>
      <w:r w:rsidR="005758FC" w:rsidRPr="00EF5168">
        <w:t xml:space="preserve"> (roughly equivalent to 0.5 viruses/mL, given the correspondence between a genome and a viral particle)</w:t>
      </w:r>
      <w:r w:rsidR="00986879" w:rsidRPr="00EF5168">
        <w:t>. The linearity of results was modest, particularly in vegetable washing water, where organic and disinfectant residues reduced the efficiency of both ELIME and PCR analysis. However, the underestimation of viral concentration in the spiked samples did not negatively affect the</w:t>
      </w:r>
      <w:r w:rsidR="00986879" w:rsidRPr="00EF5168">
        <w:rPr>
          <w:b/>
        </w:rPr>
        <w:t xml:space="preserve"> </w:t>
      </w:r>
      <w:r w:rsidR="00986879" w:rsidRPr="00EF5168">
        <w:t xml:space="preserve">overall ELIME sensitivity. </w:t>
      </w:r>
    </w:p>
    <w:p w14:paraId="7E7ED506" w14:textId="4CD2FA9D" w:rsidR="00EF5168" w:rsidRPr="00EF5168" w:rsidRDefault="00EF5168" w:rsidP="00EF5168">
      <w:pPr>
        <w:pStyle w:val="MDPI41tablecaption"/>
        <w:jc w:val="left"/>
      </w:pPr>
      <w:r w:rsidRPr="00EF5168">
        <w:rPr>
          <w:b/>
        </w:rPr>
        <w:t xml:space="preserve">Table 1. </w:t>
      </w:r>
      <w:r w:rsidRPr="00EF5168">
        <w:t>Assessment of the ELIME essay on drinking water.</w:t>
      </w:r>
    </w:p>
    <w:tbl>
      <w:tblPr>
        <w:tblStyle w:val="Grigliatabella"/>
        <w:tblW w:w="7857" w:type="dxa"/>
        <w:tblInd w:w="2608" w:type="dxa"/>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969"/>
        <w:gridCol w:w="2022"/>
        <w:gridCol w:w="2022"/>
        <w:gridCol w:w="1844"/>
      </w:tblGrid>
      <w:tr w:rsidR="00846CCD" w:rsidRPr="00EF5168" w14:paraId="528EE831" w14:textId="77777777" w:rsidTr="00EF5168">
        <w:tc>
          <w:tcPr>
            <w:tcW w:w="1966" w:type="dxa"/>
            <w:vMerge w:val="restart"/>
            <w:tcBorders>
              <w:top w:val="single" w:sz="8" w:space="0" w:color="auto"/>
              <w:bottom w:val="single" w:sz="4" w:space="0" w:color="auto"/>
            </w:tcBorders>
            <w:shd w:val="clear" w:color="auto" w:fill="auto"/>
            <w:vAlign w:val="center"/>
          </w:tcPr>
          <w:p w14:paraId="590DB2C7" w14:textId="2AA715AB"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Spiking</w:t>
            </w:r>
          </w:p>
          <w:p w14:paraId="137478FA" w14:textId="00019DC1"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Level</w:t>
            </w:r>
          </w:p>
        </w:tc>
        <w:tc>
          <w:tcPr>
            <w:tcW w:w="2020" w:type="dxa"/>
            <w:vMerge w:val="restart"/>
            <w:shd w:val="clear" w:color="auto" w:fill="auto"/>
            <w:vAlign w:val="center"/>
          </w:tcPr>
          <w:p w14:paraId="7651C8A9" w14:textId="450260A3"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HAV expected value (g</w:t>
            </w:r>
            <w:r w:rsidR="00D8097C" w:rsidRPr="00EF5168">
              <w:rPr>
                <w:b/>
                <w:bCs/>
                <w:szCs w:val="18"/>
              </w:rPr>
              <w:t>.</w:t>
            </w:r>
            <w:r w:rsidRPr="00EF5168">
              <w:rPr>
                <w:b/>
                <w:bCs/>
                <w:szCs w:val="18"/>
              </w:rPr>
              <w:t>c</w:t>
            </w:r>
            <w:r w:rsidR="00D8097C" w:rsidRPr="00EF5168">
              <w:rPr>
                <w:b/>
                <w:bCs/>
                <w:szCs w:val="18"/>
              </w:rPr>
              <w:t>.</w:t>
            </w:r>
            <w:r w:rsidRPr="00EF5168">
              <w:rPr>
                <w:b/>
                <w:bCs/>
                <w:szCs w:val="18"/>
              </w:rPr>
              <w:t>/mL)</w:t>
            </w:r>
            <w:r w:rsidR="005B3A4B" w:rsidRPr="00EF5168">
              <w:rPr>
                <w:szCs w:val="16"/>
              </w:rPr>
              <w:t xml:space="preserve"> †</w:t>
            </w:r>
          </w:p>
        </w:tc>
        <w:tc>
          <w:tcPr>
            <w:tcW w:w="3862" w:type="dxa"/>
            <w:gridSpan w:val="2"/>
            <w:shd w:val="clear" w:color="auto" w:fill="auto"/>
            <w:vAlign w:val="center"/>
          </w:tcPr>
          <w:p w14:paraId="288D5F54" w14:textId="04B6C3B8"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 xml:space="preserve">HAV </w:t>
            </w:r>
            <w:r w:rsidR="00D8097C" w:rsidRPr="00EF5168">
              <w:rPr>
                <w:b/>
                <w:bCs/>
                <w:szCs w:val="18"/>
              </w:rPr>
              <w:t>measured value</w:t>
            </w:r>
          </w:p>
        </w:tc>
      </w:tr>
      <w:tr w:rsidR="00846CCD" w:rsidRPr="00EF5168" w14:paraId="649654BB" w14:textId="77777777" w:rsidTr="00EF5168">
        <w:tc>
          <w:tcPr>
            <w:tcW w:w="1966" w:type="dxa"/>
            <w:vMerge/>
            <w:tcBorders>
              <w:top w:val="single" w:sz="4" w:space="0" w:color="auto"/>
              <w:bottom w:val="single" w:sz="4" w:space="0" w:color="auto"/>
            </w:tcBorders>
            <w:shd w:val="clear" w:color="auto" w:fill="auto"/>
            <w:vAlign w:val="center"/>
          </w:tcPr>
          <w:p w14:paraId="46E9B809" w14:textId="77777777" w:rsidR="00846CCD" w:rsidRPr="00EF5168" w:rsidRDefault="00846CCD" w:rsidP="00EF5168">
            <w:pPr>
              <w:pStyle w:val="MDPI31text"/>
              <w:autoSpaceDE w:val="0"/>
              <w:autoSpaceDN w:val="0"/>
              <w:spacing w:line="240" w:lineRule="auto"/>
              <w:ind w:left="0" w:firstLine="0"/>
              <w:jc w:val="center"/>
              <w:rPr>
                <w:b/>
                <w:bCs/>
                <w:szCs w:val="18"/>
              </w:rPr>
            </w:pPr>
          </w:p>
        </w:tc>
        <w:tc>
          <w:tcPr>
            <w:tcW w:w="2020" w:type="dxa"/>
            <w:vMerge/>
            <w:shd w:val="clear" w:color="auto" w:fill="auto"/>
            <w:vAlign w:val="center"/>
          </w:tcPr>
          <w:p w14:paraId="0F45FFDF" w14:textId="77777777" w:rsidR="00846CCD" w:rsidRPr="00EF5168" w:rsidRDefault="00846CCD" w:rsidP="00EF5168">
            <w:pPr>
              <w:pStyle w:val="MDPI31text"/>
              <w:autoSpaceDE w:val="0"/>
              <w:autoSpaceDN w:val="0"/>
              <w:spacing w:line="240" w:lineRule="auto"/>
              <w:ind w:left="0" w:firstLine="0"/>
              <w:jc w:val="center"/>
              <w:rPr>
                <w:b/>
                <w:bCs/>
                <w:szCs w:val="18"/>
              </w:rPr>
            </w:pPr>
          </w:p>
        </w:tc>
        <w:tc>
          <w:tcPr>
            <w:tcW w:w="2020" w:type="dxa"/>
            <w:shd w:val="clear" w:color="auto" w:fill="auto"/>
            <w:vAlign w:val="center"/>
          </w:tcPr>
          <w:p w14:paraId="5E845E7D" w14:textId="77777777"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ELIME assay</w:t>
            </w:r>
          </w:p>
          <w:p w14:paraId="0B75D63F" w14:textId="18C003EA"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 xml:space="preserve"> (</w:t>
            </w:r>
            <w:r w:rsidR="005758FC" w:rsidRPr="00EF5168">
              <w:rPr>
                <w:b/>
                <w:bCs/>
                <w:szCs w:val="18"/>
              </w:rPr>
              <w:t>g.c.</w:t>
            </w:r>
            <w:r w:rsidRPr="00EF5168">
              <w:rPr>
                <w:b/>
                <w:bCs/>
                <w:szCs w:val="18"/>
              </w:rPr>
              <w:t>/mL)</w:t>
            </w:r>
          </w:p>
        </w:tc>
        <w:tc>
          <w:tcPr>
            <w:tcW w:w="1842" w:type="dxa"/>
            <w:shd w:val="clear" w:color="auto" w:fill="auto"/>
            <w:vAlign w:val="center"/>
          </w:tcPr>
          <w:p w14:paraId="33261C7F" w14:textId="4BB6ECA9"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RT-qPCR</w:t>
            </w:r>
          </w:p>
          <w:p w14:paraId="42A8E642" w14:textId="3F25828F"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(g</w:t>
            </w:r>
            <w:r w:rsidR="00D8097C" w:rsidRPr="00EF5168">
              <w:rPr>
                <w:b/>
                <w:bCs/>
                <w:szCs w:val="18"/>
              </w:rPr>
              <w:t>.</w:t>
            </w:r>
            <w:r w:rsidRPr="00EF5168">
              <w:rPr>
                <w:b/>
                <w:bCs/>
                <w:szCs w:val="18"/>
              </w:rPr>
              <w:t>c</w:t>
            </w:r>
            <w:r w:rsidR="00D8097C" w:rsidRPr="00EF5168">
              <w:rPr>
                <w:b/>
                <w:bCs/>
                <w:szCs w:val="18"/>
              </w:rPr>
              <w:t>.</w:t>
            </w:r>
            <w:r w:rsidRPr="00EF5168">
              <w:rPr>
                <w:b/>
                <w:bCs/>
                <w:szCs w:val="18"/>
              </w:rPr>
              <w:t>/mL</w:t>
            </w:r>
            <w:r w:rsidR="0069545C" w:rsidRPr="00EF5168">
              <w:rPr>
                <w:b/>
                <w:bCs/>
                <w:szCs w:val="18"/>
              </w:rPr>
              <w:t>)</w:t>
            </w:r>
          </w:p>
        </w:tc>
      </w:tr>
      <w:tr w:rsidR="00846CCD" w:rsidRPr="00EF5168" w14:paraId="25BF2331" w14:textId="77777777" w:rsidTr="00EF5168">
        <w:tc>
          <w:tcPr>
            <w:tcW w:w="1966" w:type="dxa"/>
            <w:tcBorders>
              <w:top w:val="single" w:sz="4" w:space="0" w:color="auto"/>
              <w:bottom w:val="single" w:sz="4" w:space="0" w:color="auto"/>
            </w:tcBorders>
            <w:shd w:val="clear" w:color="auto" w:fill="auto"/>
            <w:vAlign w:val="center"/>
          </w:tcPr>
          <w:p w14:paraId="4F6E6F00" w14:textId="2C30589A" w:rsidR="00846CCD" w:rsidRPr="00EF5168" w:rsidRDefault="00846CCD" w:rsidP="00EF5168">
            <w:pPr>
              <w:pStyle w:val="MDPI31text"/>
              <w:autoSpaceDE w:val="0"/>
              <w:autoSpaceDN w:val="0"/>
              <w:spacing w:line="240" w:lineRule="auto"/>
              <w:ind w:left="0" w:firstLine="0"/>
              <w:jc w:val="center"/>
              <w:rPr>
                <w:b/>
                <w:bCs/>
                <w:szCs w:val="18"/>
              </w:rPr>
            </w:pPr>
            <w:r w:rsidRPr="00EF5168">
              <w:rPr>
                <w:b/>
                <w:bCs/>
                <w:szCs w:val="18"/>
              </w:rPr>
              <w:t>L0</w:t>
            </w:r>
          </w:p>
        </w:tc>
        <w:tc>
          <w:tcPr>
            <w:tcW w:w="2020" w:type="dxa"/>
            <w:shd w:val="clear" w:color="auto" w:fill="auto"/>
            <w:vAlign w:val="center"/>
          </w:tcPr>
          <w:p w14:paraId="5AA52C9D" w14:textId="500801F1" w:rsidR="00846CCD" w:rsidRPr="00EF5168" w:rsidRDefault="00846CCD" w:rsidP="00EF5168">
            <w:pPr>
              <w:pStyle w:val="MDPI31text"/>
              <w:autoSpaceDE w:val="0"/>
              <w:autoSpaceDN w:val="0"/>
              <w:spacing w:line="240" w:lineRule="auto"/>
              <w:ind w:left="0" w:firstLine="0"/>
              <w:jc w:val="center"/>
            </w:pPr>
            <w:r w:rsidRPr="00EF5168">
              <w:t>-</w:t>
            </w:r>
          </w:p>
        </w:tc>
        <w:tc>
          <w:tcPr>
            <w:tcW w:w="2020" w:type="dxa"/>
            <w:shd w:val="clear" w:color="auto" w:fill="auto"/>
            <w:vAlign w:val="center"/>
          </w:tcPr>
          <w:p w14:paraId="0DAD662B" w14:textId="34557638" w:rsidR="00846CCD" w:rsidRPr="00EF5168" w:rsidRDefault="00846CCD" w:rsidP="00EF5168">
            <w:pPr>
              <w:pStyle w:val="MDPI31text"/>
              <w:autoSpaceDE w:val="0"/>
              <w:autoSpaceDN w:val="0"/>
              <w:spacing w:line="240" w:lineRule="auto"/>
              <w:ind w:left="0" w:firstLine="0"/>
              <w:jc w:val="center"/>
            </w:pPr>
            <w:r w:rsidRPr="00EF5168">
              <w:t>-</w:t>
            </w:r>
          </w:p>
        </w:tc>
        <w:tc>
          <w:tcPr>
            <w:tcW w:w="1842" w:type="dxa"/>
            <w:shd w:val="clear" w:color="auto" w:fill="auto"/>
            <w:vAlign w:val="center"/>
          </w:tcPr>
          <w:p w14:paraId="50353F03" w14:textId="794C6D6F" w:rsidR="00846CCD" w:rsidRPr="00EF5168" w:rsidRDefault="00846CCD" w:rsidP="00EF5168">
            <w:pPr>
              <w:pStyle w:val="MDPI31text"/>
              <w:autoSpaceDE w:val="0"/>
              <w:autoSpaceDN w:val="0"/>
              <w:spacing w:line="240" w:lineRule="auto"/>
              <w:ind w:left="0" w:firstLine="0"/>
              <w:jc w:val="center"/>
            </w:pPr>
            <w:r w:rsidRPr="00EF5168">
              <w:t>-</w:t>
            </w:r>
          </w:p>
        </w:tc>
      </w:tr>
      <w:tr w:rsidR="00F36CBD" w:rsidRPr="00EF5168" w14:paraId="2A194987" w14:textId="77777777" w:rsidTr="00EF5168">
        <w:tc>
          <w:tcPr>
            <w:tcW w:w="1966" w:type="dxa"/>
            <w:tcBorders>
              <w:top w:val="single" w:sz="4" w:space="0" w:color="auto"/>
            </w:tcBorders>
            <w:shd w:val="clear" w:color="auto" w:fill="auto"/>
            <w:vAlign w:val="center"/>
          </w:tcPr>
          <w:p w14:paraId="23B577A5" w14:textId="1554AC8D"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L2</w:t>
            </w:r>
          </w:p>
        </w:tc>
        <w:tc>
          <w:tcPr>
            <w:tcW w:w="2020" w:type="dxa"/>
            <w:shd w:val="clear" w:color="auto" w:fill="auto"/>
            <w:vAlign w:val="center"/>
          </w:tcPr>
          <w:p w14:paraId="03BBC472" w14:textId="6B9E6B28" w:rsidR="00F36CBD" w:rsidRPr="00EF5168" w:rsidRDefault="00F36CBD" w:rsidP="00EF5168">
            <w:pPr>
              <w:pStyle w:val="MDPI31text"/>
              <w:autoSpaceDE w:val="0"/>
              <w:autoSpaceDN w:val="0"/>
              <w:spacing w:line="240" w:lineRule="auto"/>
              <w:ind w:left="0" w:firstLine="0"/>
              <w:jc w:val="center"/>
            </w:pPr>
            <w:r w:rsidRPr="00EF5168">
              <w:t>0.8</w:t>
            </w:r>
            <w:r w:rsidR="002410F3" w:rsidRPr="00EF5168">
              <w:t xml:space="preserve"> ± 0.12</w:t>
            </w:r>
          </w:p>
        </w:tc>
        <w:tc>
          <w:tcPr>
            <w:tcW w:w="2020" w:type="dxa"/>
            <w:shd w:val="clear" w:color="auto" w:fill="auto"/>
            <w:vAlign w:val="center"/>
          </w:tcPr>
          <w:p w14:paraId="556BF22D" w14:textId="0F1EE72F" w:rsidR="00F36CBD" w:rsidRPr="00EF5168" w:rsidRDefault="00F36CBD" w:rsidP="00EF5168">
            <w:pPr>
              <w:pStyle w:val="MDPI31text"/>
              <w:autoSpaceDE w:val="0"/>
              <w:autoSpaceDN w:val="0"/>
              <w:spacing w:line="240" w:lineRule="auto"/>
              <w:ind w:left="0" w:firstLine="0"/>
              <w:jc w:val="center"/>
            </w:pPr>
            <w:r w:rsidRPr="00EF5168">
              <w:t>0.92</w:t>
            </w:r>
          </w:p>
        </w:tc>
        <w:tc>
          <w:tcPr>
            <w:tcW w:w="1842" w:type="dxa"/>
            <w:shd w:val="clear" w:color="auto" w:fill="auto"/>
            <w:vAlign w:val="center"/>
          </w:tcPr>
          <w:p w14:paraId="29367AFF" w14:textId="5C7B7C49" w:rsidR="00F36CBD" w:rsidRPr="00EF5168" w:rsidRDefault="00F36CBD" w:rsidP="00EF5168">
            <w:pPr>
              <w:pStyle w:val="MDPI31text"/>
              <w:autoSpaceDE w:val="0"/>
              <w:autoSpaceDN w:val="0"/>
              <w:spacing w:line="240" w:lineRule="auto"/>
              <w:ind w:left="0" w:firstLine="0"/>
              <w:jc w:val="center"/>
            </w:pPr>
            <w:r w:rsidRPr="00EF5168">
              <w:t>-</w:t>
            </w:r>
          </w:p>
        </w:tc>
      </w:tr>
      <w:tr w:rsidR="00F36CBD" w:rsidRPr="00EF5168" w14:paraId="2469AE3F" w14:textId="77777777" w:rsidTr="00EF5168">
        <w:tc>
          <w:tcPr>
            <w:tcW w:w="1966" w:type="dxa"/>
            <w:shd w:val="clear" w:color="auto" w:fill="auto"/>
            <w:vAlign w:val="center"/>
          </w:tcPr>
          <w:p w14:paraId="30B5E51F" w14:textId="0A0C5D97"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L2/3</w:t>
            </w:r>
          </w:p>
        </w:tc>
        <w:tc>
          <w:tcPr>
            <w:tcW w:w="2020" w:type="dxa"/>
            <w:shd w:val="clear" w:color="auto" w:fill="auto"/>
            <w:vAlign w:val="center"/>
          </w:tcPr>
          <w:p w14:paraId="4D239354" w14:textId="0B18F326" w:rsidR="00F36CBD" w:rsidRPr="00EF5168" w:rsidRDefault="00F36CBD" w:rsidP="00EF5168">
            <w:pPr>
              <w:pStyle w:val="MDPI31text"/>
              <w:autoSpaceDE w:val="0"/>
              <w:autoSpaceDN w:val="0"/>
              <w:spacing w:line="240" w:lineRule="auto"/>
              <w:ind w:left="0" w:firstLine="0"/>
              <w:jc w:val="center"/>
            </w:pPr>
            <w:r w:rsidRPr="00EF5168">
              <w:t>4.1</w:t>
            </w:r>
            <w:r w:rsidR="002410F3" w:rsidRPr="00EF5168">
              <w:t xml:space="preserve"> ± 0.6</w:t>
            </w:r>
          </w:p>
        </w:tc>
        <w:tc>
          <w:tcPr>
            <w:tcW w:w="2020" w:type="dxa"/>
            <w:shd w:val="clear" w:color="auto" w:fill="auto"/>
            <w:vAlign w:val="center"/>
          </w:tcPr>
          <w:p w14:paraId="68D7D8C7" w14:textId="2F97A4E8" w:rsidR="00F36CBD" w:rsidRPr="00EF5168" w:rsidRDefault="00F36CBD" w:rsidP="00EF5168">
            <w:pPr>
              <w:pStyle w:val="MDPI31text"/>
              <w:autoSpaceDE w:val="0"/>
              <w:autoSpaceDN w:val="0"/>
              <w:spacing w:line="240" w:lineRule="auto"/>
              <w:ind w:left="0" w:firstLine="0"/>
              <w:jc w:val="center"/>
            </w:pPr>
            <w:r w:rsidRPr="00EF5168">
              <w:t>1.15</w:t>
            </w:r>
          </w:p>
        </w:tc>
        <w:tc>
          <w:tcPr>
            <w:tcW w:w="1842" w:type="dxa"/>
            <w:shd w:val="clear" w:color="auto" w:fill="auto"/>
            <w:vAlign w:val="center"/>
          </w:tcPr>
          <w:p w14:paraId="3BA42D46" w14:textId="5734B964" w:rsidR="00F36CBD" w:rsidRPr="00EF5168" w:rsidRDefault="00F36CBD" w:rsidP="00EF5168">
            <w:pPr>
              <w:pStyle w:val="MDPI31text"/>
              <w:autoSpaceDE w:val="0"/>
              <w:autoSpaceDN w:val="0"/>
              <w:spacing w:line="240" w:lineRule="auto"/>
              <w:ind w:left="0" w:firstLine="0"/>
              <w:jc w:val="center"/>
            </w:pPr>
            <w:r w:rsidRPr="00EF5168">
              <w:t>0.56*</w:t>
            </w:r>
            <w:r w:rsidR="00DF06CF" w:rsidRPr="00EF5168">
              <w:t xml:space="preserve"> ± 0.3</w:t>
            </w:r>
          </w:p>
        </w:tc>
      </w:tr>
      <w:tr w:rsidR="00F36CBD" w:rsidRPr="00EF5168" w14:paraId="61C3C268" w14:textId="77777777" w:rsidTr="00EF5168">
        <w:tc>
          <w:tcPr>
            <w:tcW w:w="1966" w:type="dxa"/>
            <w:shd w:val="clear" w:color="auto" w:fill="auto"/>
            <w:vAlign w:val="center"/>
          </w:tcPr>
          <w:p w14:paraId="054E7C3C" w14:textId="5139F2BD"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L3</w:t>
            </w:r>
          </w:p>
        </w:tc>
        <w:tc>
          <w:tcPr>
            <w:tcW w:w="2020" w:type="dxa"/>
            <w:shd w:val="clear" w:color="auto" w:fill="auto"/>
            <w:vAlign w:val="center"/>
          </w:tcPr>
          <w:p w14:paraId="2F00B901" w14:textId="053B5C46" w:rsidR="00F36CBD" w:rsidRPr="00EF5168" w:rsidRDefault="00F36CBD" w:rsidP="00EF5168">
            <w:pPr>
              <w:pStyle w:val="MDPI31text"/>
              <w:autoSpaceDE w:val="0"/>
              <w:autoSpaceDN w:val="0"/>
              <w:spacing w:line="240" w:lineRule="auto"/>
              <w:ind w:left="0" w:firstLine="0"/>
              <w:jc w:val="center"/>
            </w:pPr>
            <w:r w:rsidRPr="00EF5168">
              <w:t>8</w:t>
            </w:r>
            <w:r w:rsidR="002410F3" w:rsidRPr="00EF5168">
              <w:t xml:space="preserve"> ± 1</w:t>
            </w:r>
          </w:p>
        </w:tc>
        <w:tc>
          <w:tcPr>
            <w:tcW w:w="2020" w:type="dxa"/>
            <w:shd w:val="clear" w:color="auto" w:fill="auto"/>
            <w:vAlign w:val="center"/>
          </w:tcPr>
          <w:p w14:paraId="49C61F79" w14:textId="679E1FE9" w:rsidR="00F36CBD" w:rsidRPr="00EF5168" w:rsidRDefault="00F36CBD" w:rsidP="00EF5168">
            <w:pPr>
              <w:pStyle w:val="MDPI31text"/>
              <w:autoSpaceDE w:val="0"/>
              <w:autoSpaceDN w:val="0"/>
              <w:spacing w:line="240" w:lineRule="auto"/>
              <w:ind w:left="0" w:firstLine="0"/>
              <w:jc w:val="center"/>
            </w:pPr>
            <w:r w:rsidRPr="00EF5168">
              <w:t>1.45</w:t>
            </w:r>
          </w:p>
        </w:tc>
        <w:tc>
          <w:tcPr>
            <w:tcW w:w="1842" w:type="dxa"/>
            <w:shd w:val="clear" w:color="auto" w:fill="auto"/>
            <w:vAlign w:val="center"/>
          </w:tcPr>
          <w:p w14:paraId="50B24311" w14:textId="514FAC7D" w:rsidR="00F36CBD" w:rsidRPr="00EF5168" w:rsidRDefault="00F36CBD" w:rsidP="00EF5168">
            <w:pPr>
              <w:pStyle w:val="MDPI31text"/>
              <w:autoSpaceDE w:val="0"/>
              <w:autoSpaceDN w:val="0"/>
              <w:spacing w:line="240" w:lineRule="auto"/>
              <w:ind w:left="0" w:firstLine="0"/>
              <w:jc w:val="center"/>
            </w:pPr>
            <w:r w:rsidRPr="00EF5168">
              <w:t>0.56*</w:t>
            </w:r>
            <w:r w:rsidR="00DF06CF" w:rsidRPr="00EF5168">
              <w:t xml:space="preserve"> ± 0.</w:t>
            </w:r>
            <w:r w:rsidR="00FB6E67" w:rsidRPr="00EF5168">
              <w:t>2</w:t>
            </w:r>
          </w:p>
        </w:tc>
      </w:tr>
      <w:tr w:rsidR="00F36CBD" w:rsidRPr="00EF5168" w14:paraId="77DBB2F8" w14:textId="77777777" w:rsidTr="00EF5168">
        <w:tc>
          <w:tcPr>
            <w:tcW w:w="1966" w:type="dxa"/>
            <w:shd w:val="clear" w:color="auto" w:fill="auto"/>
            <w:vAlign w:val="center"/>
          </w:tcPr>
          <w:p w14:paraId="2E060AD1" w14:textId="6C1FDE01"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L3/4</w:t>
            </w:r>
          </w:p>
        </w:tc>
        <w:tc>
          <w:tcPr>
            <w:tcW w:w="2020" w:type="dxa"/>
            <w:shd w:val="clear" w:color="auto" w:fill="auto"/>
            <w:vAlign w:val="center"/>
          </w:tcPr>
          <w:p w14:paraId="38D9B125" w14:textId="267C104A" w:rsidR="00F36CBD" w:rsidRPr="00EF5168" w:rsidRDefault="00F36CBD" w:rsidP="00EF5168">
            <w:pPr>
              <w:pStyle w:val="MDPI31text"/>
              <w:autoSpaceDE w:val="0"/>
              <w:autoSpaceDN w:val="0"/>
              <w:spacing w:line="240" w:lineRule="auto"/>
              <w:ind w:left="0" w:firstLine="0"/>
              <w:jc w:val="center"/>
            </w:pPr>
            <w:r w:rsidRPr="00EF5168">
              <w:t>41</w:t>
            </w:r>
            <w:r w:rsidR="002410F3" w:rsidRPr="00EF5168">
              <w:t xml:space="preserve"> ± 6</w:t>
            </w:r>
          </w:p>
        </w:tc>
        <w:tc>
          <w:tcPr>
            <w:tcW w:w="2020" w:type="dxa"/>
            <w:shd w:val="clear" w:color="auto" w:fill="auto"/>
            <w:vAlign w:val="center"/>
          </w:tcPr>
          <w:p w14:paraId="126D9B48" w14:textId="383B205C" w:rsidR="00F36CBD" w:rsidRPr="00EF5168" w:rsidRDefault="00F36CBD" w:rsidP="00EF5168">
            <w:pPr>
              <w:pStyle w:val="MDPI31text"/>
              <w:autoSpaceDE w:val="0"/>
              <w:autoSpaceDN w:val="0"/>
              <w:spacing w:line="240" w:lineRule="auto"/>
              <w:ind w:left="0" w:firstLine="0"/>
              <w:jc w:val="center"/>
            </w:pPr>
            <w:r w:rsidRPr="00EF5168">
              <w:t>2.59</w:t>
            </w:r>
          </w:p>
        </w:tc>
        <w:tc>
          <w:tcPr>
            <w:tcW w:w="1842" w:type="dxa"/>
            <w:shd w:val="clear" w:color="auto" w:fill="auto"/>
            <w:vAlign w:val="center"/>
          </w:tcPr>
          <w:p w14:paraId="11EACD89" w14:textId="0089B663" w:rsidR="00F36CBD" w:rsidRPr="00EF5168" w:rsidRDefault="00F36CBD" w:rsidP="00EF5168">
            <w:pPr>
              <w:pStyle w:val="MDPI31text"/>
              <w:autoSpaceDE w:val="0"/>
              <w:autoSpaceDN w:val="0"/>
              <w:spacing w:line="240" w:lineRule="auto"/>
              <w:ind w:left="0" w:firstLine="0"/>
              <w:jc w:val="center"/>
            </w:pPr>
            <w:r w:rsidRPr="00EF5168">
              <w:t>2.7</w:t>
            </w:r>
            <w:r w:rsidR="00DF06CF" w:rsidRPr="00EF5168">
              <w:t>0 ± 0.8</w:t>
            </w:r>
          </w:p>
        </w:tc>
      </w:tr>
      <w:tr w:rsidR="00F36CBD" w:rsidRPr="00EF5168" w14:paraId="6273F61F" w14:textId="77777777" w:rsidTr="00EF5168">
        <w:tc>
          <w:tcPr>
            <w:tcW w:w="1966" w:type="dxa"/>
            <w:shd w:val="clear" w:color="auto" w:fill="auto"/>
            <w:vAlign w:val="center"/>
          </w:tcPr>
          <w:p w14:paraId="426DC8C2" w14:textId="2DE4DCE8"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L4</w:t>
            </w:r>
          </w:p>
        </w:tc>
        <w:tc>
          <w:tcPr>
            <w:tcW w:w="2020" w:type="dxa"/>
            <w:shd w:val="clear" w:color="auto" w:fill="auto"/>
            <w:vAlign w:val="center"/>
          </w:tcPr>
          <w:p w14:paraId="08BB8D47" w14:textId="6A575E37" w:rsidR="00F36CBD" w:rsidRPr="00EF5168" w:rsidRDefault="00F36CBD" w:rsidP="00EF5168">
            <w:pPr>
              <w:pStyle w:val="MDPI31text"/>
              <w:autoSpaceDE w:val="0"/>
              <w:autoSpaceDN w:val="0"/>
              <w:spacing w:line="240" w:lineRule="auto"/>
              <w:ind w:left="0" w:firstLine="0"/>
              <w:jc w:val="center"/>
            </w:pPr>
            <w:r w:rsidRPr="00EF5168">
              <w:t>82</w:t>
            </w:r>
            <w:r w:rsidR="002410F3" w:rsidRPr="00EF5168">
              <w:t xml:space="preserve"> ± 12</w:t>
            </w:r>
          </w:p>
        </w:tc>
        <w:tc>
          <w:tcPr>
            <w:tcW w:w="2020" w:type="dxa"/>
            <w:shd w:val="clear" w:color="auto" w:fill="auto"/>
            <w:vAlign w:val="center"/>
          </w:tcPr>
          <w:p w14:paraId="1E278542" w14:textId="4F5546C8" w:rsidR="00F36CBD" w:rsidRPr="00EF5168" w:rsidRDefault="00F36CBD" w:rsidP="00EF5168">
            <w:pPr>
              <w:pStyle w:val="MDPI31text"/>
              <w:autoSpaceDE w:val="0"/>
              <w:autoSpaceDN w:val="0"/>
              <w:spacing w:line="240" w:lineRule="auto"/>
              <w:ind w:left="0" w:firstLine="0"/>
              <w:jc w:val="center"/>
            </w:pPr>
            <w:r w:rsidRPr="00EF5168">
              <w:t>3.24</w:t>
            </w:r>
          </w:p>
        </w:tc>
        <w:tc>
          <w:tcPr>
            <w:tcW w:w="1842" w:type="dxa"/>
            <w:shd w:val="clear" w:color="auto" w:fill="auto"/>
            <w:vAlign w:val="center"/>
          </w:tcPr>
          <w:p w14:paraId="6D2FEBBF" w14:textId="34C656B2" w:rsidR="00F36CBD" w:rsidRPr="00EF5168" w:rsidRDefault="00F36CBD" w:rsidP="00EF5168">
            <w:pPr>
              <w:pStyle w:val="MDPI31text"/>
              <w:autoSpaceDE w:val="0"/>
              <w:autoSpaceDN w:val="0"/>
              <w:spacing w:line="240" w:lineRule="auto"/>
              <w:ind w:left="0" w:firstLine="0"/>
              <w:jc w:val="center"/>
            </w:pPr>
            <w:r w:rsidRPr="00EF5168">
              <w:t>4.22</w:t>
            </w:r>
            <w:r w:rsidR="00DF06CF" w:rsidRPr="00EF5168">
              <w:t xml:space="preserve"> ± 0.7</w:t>
            </w:r>
          </w:p>
        </w:tc>
      </w:tr>
      <w:tr w:rsidR="00F36CBD" w:rsidRPr="00EF5168" w14:paraId="2B7890FB" w14:textId="77777777" w:rsidTr="00EF5168">
        <w:tc>
          <w:tcPr>
            <w:tcW w:w="1966" w:type="dxa"/>
            <w:shd w:val="clear" w:color="auto" w:fill="auto"/>
            <w:vAlign w:val="center"/>
          </w:tcPr>
          <w:p w14:paraId="15B5E74B" w14:textId="50F8A695"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L4/5</w:t>
            </w:r>
          </w:p>
        </w:tc>
        <w:tc>
          <w:tcPr>
            <w:tcW w:w="2020" w:type="dxa"/>
            <w:shd w:val="clear" w:color="auto" w:fill="auto"/>
            <w:vAlign w:val="center"/>
          </w:tcPr>
          <w:p w14:paraId="7E76EE86" w14:textId="5E1E7475" w:rsidR="00F36CBD" w:rsidRPr="00EF5168" w:rsidRDefault="00F36CBD" w:rsidP="00EF5168">
            <w:pPr>
              <w:pStyle w:val="MDPI31text"/>
              <w:autoSpaceDE w:val="0"/>
              <w:autoSpaceDN w:val="0"/>
              <w:spacing w:line="240" w:lineRule="auto"/>
              <w:ind w:left="0" w:firstLine="0"/>
              <w:jc w:val="center"/>
            </w:pPr>
            <w:r w:rsidRPr="00EF5168">
              <w:t>41</w:t>
            </w:r>
            <w:r w:rsidR="00FB6E67" w:rsidRPr="00EF5168">
              <w:t>1</w:t>
            </w:r>
            <w:r w:rsidR="002410F3" w:rsidRPr="00EF5168">
              <w:t xml:space="preserve"> ± 60</w:t>
            </w:r>
          </w:p>
        </w:tc>
        <w:tc>
          <w:tcPr>
            <w:tcW w:w="2020" w:type="dxa"/>
            <w:shd w:val="clear" w:color="auto" w:fill="auto"/>
            <w:vAlign w:val="center"/>
          </w:tcPr>
          <w:p w14:paraId="33A9996B" w14:textId="15894CF0" w:rsidR="00F36CBD" w:rsidRPr="00EF5168" w:rsidRDefault="00F36CBD" w:rsidP="00EF5168">
            <w:pPr>
              <w:pStyle w:val="MDPI31text"/>
              <w:autoSpaceDE w:val="0"/>
              <w:autoSpaceDN w:val="0"/>
              <w:spacing w:line="240" w:lineRule="auto"/>
              <w:ind w:left="0" w:firstLine="0"/>
              <w:jc w:val="center"/>
            </w:pPr>
            <w:r w:rsidRPr="00EF5168">
              <w:t>4.42</w:t>
            </w:r>
          </w:p>
        </w:tc>
        <w:tc>
          <w:tcPr>
            <w:tcW w:w="1842" w:type="dxa"/>
            <w:shd w:val="clear" w:color="auto" w:fill="auto"/>
            <w:vAlign w:val="center"/>
          </w:tcPr>
          <w:p w14:paraId="0C6F78C3" w14:textId="51668405" w:rsidR="00F36CBD" w:rsidRPr="00EF5168" w:rsidRDefault="00F36CBD" w:rsidP="00EF5168">
            <w:pPr>
              <w:pStyle w:val="MDPI31text"/>
              <w:autoSpaceDE w:val="0"/>
              <w:autoSpaceDN w:val="0"/>
              <w:spacing w:line="240" w:lineRule="auto"/>
              <w:ind w:left="0" w:firstLine="0"/>
              <w:jc w:val="center"/>
            </w:pPr>
            <w:r w:rsidRPr="00EF5168">
              <w:t>35.44</w:t>
            </w:r>
            <w:r w:rsidR="00DF06CF" w:rsidRPr="00EF5168">
              <w:t xml:space="preserve"> ± </w:t>
            </w:r>
            <w:r w:rsidR="00FB6E67" w:rsidRPr="00EF5168">
              <w:t>3</w:t>
            </w:r>
          </w:p>
        </w:tc>
      </w:tr>
      <w:tr w:rsidR="00F36CBD" w:rsidRPr="00EF5168" w14:paraId="68AA1B2E" w14:textId="77777777" w:rsidTr="00EF5168">
        <w:tc>
          <w:tcPr>
            <w:tcW w:w="1966" w:type="dxa"/>
            <w:shd w:val="clear" w:color="auto" w:fill="auto"/>
            <w:vAlign w:val="center"/>
          </w:tcPr>
          <w:p w14:paraId="4B5EB33E" w14:textId="1054BEC1"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L5</w:t>
            </w:r>
          </w:p>
        </w:tc>
        <w:tc>
          <w:tcPr>
            <w:tcW w:w="2020" w:type="dxa"/>
            <w:shd w:val="clear" w:color="auto" w:fill="auto"/>
            <w:vAlign w:val="center"/>
          </w:tcPr>
          <w:p w14:paraId="0B0F24FF" w14:textId="09A42D5C" w:rsidR="00F36CBD" w:rsidRPr="00EF5168" w:rsidRDefault="00F36CBD" w:rsidP="00EF5168">
            <w:pPr>
              <w:pStyle w:val="MDPI31text"/>
              <w:autoSpaceDE w:val="0"/>
              <w:autoSpaceDN w:val="0"/>
              <w:spacing w:line="240" w:lineRule="auto"/>
              <w:ind w:left="0" w:firstLine="0"/>
              <w:jc w:val="center"/>
            </w:pPr>
            <w:r w:rsidRPr="00EF5168">
              <w:t>82</w:t>
            </w:r>
            <w:r w:rsidR="00FB6E67" w:rsidRPr="00EF5168">
              <w:t>2</w:t>
            </w:r>
            <w:r w:rsidR="002410F3" w:rsidRPr="00EF5168">
              <w:t xml:space="preserve"> ± 12</w:t>
            </w:r>
            <w:r w:rsidR="00FB6E67" w:rsidRPr="00EF5168">
              <w:t>1</w:t>
            </w:r>
          </w:p>
        </w:tc>
        <w:tc>
          <w:tcPr>
            <w:tcW w:w="2020" w:type="dxa"/>
            <w:shd w:val="clear" w:color="auto" w:fill="auto"/>
            <w:vAlign w:val="center"/>
          </w:tcPr>
          <w:p w14:paraId="5F0B0B73" w14:textId="4F594457" w:rsidR="00F36CBD" w:rsidRPr="00EF5168" w:rsidRDefault="00F36CBD" w:rsidP="00EF5168">
            <w:pPr>
              <w:pStyle w:val="MDPI31text"/>
              <w:autoSpaceDE w:val="0"/>
              <w:autoSpaceDN w:val="0"/>
              <w:spacing w:line="240" w:lineRule="auto"/>
              <w:ind w:left="0" w:firstLine="0"/>
              <w:jc w:val="center"/>
            </w:pPr>
            <w:r w:rsidRPr="00EF5168">
              <w:t>103.54</w:t>
            </w:r>
          </w:p>
        </w:tc>
        <w:tc>
          <w:tcPr>
            <w:tcW w:w="1842" w:type="dxa"/>
            <w:shd w:val="clear" w:color="auto" w:fill="auto"/>
            <w:vAlign w:val="center"/>
          </w:tcPr>
          <w:p w14:paraId="45C31930" w14:textId="3E9B501A" w:rsidR="00F36CBD" w:rsidRPr="00EF5168" w:rsidRDefault="00F36CBD" w:rsidP="00EF5168">
            <w:pPr>
              <w:pStyle w:val="MDPI31text"/>
              <w:autoSpaceDE w:val="0"/>
              <w:autoSpaceDN w:val="0"/>
              <w:spacing w:line="240" w:lineRule="auto"/>
              <w:ind w:left="0" w:firstLine="0"/>
              <w:jc w:val="center"/>
            </w:pPr>
            <w:r w:rsidRPr="00EF5168">
              <w:t>11</w:t>
            </w:r>
            <w:r w:rsidR="00FB6E67" w:rsidRPr="00EF5168">
              <w:t>9</w:t>
            </w:r>
            <w:r w:rsidR="00DF06CF" w:rsidRPr="00EF5168">
              <w:t xml:space="preserve"> ± </w:t>
            </w:r>
            <w:r w:rsidR="00FB6E67" w:rsidRPr="00EF5168">
              <w:t>9</w:t>
            </w:r>
          </w:p>
        </w:tc>
      </w:tr>
      <w:tr w:rsidR="00F36CBD" w:rsidRPr="00EF5168" w14:paraId="12D803E8" w14:textId="77777777" w:rsidTr="00EF5168">
        <w:tc>
          <w:tcPr>
            <w:tcW w:w="1966" w:type="dxa"/>
            <w:shd w:val="clear" w:color="auto" w:fill="auto"/>
            <w:vAlign w:val="center"/>
          </w:tcPr>
          <w:p w14:paraId="48191822" w14:textId="43B57B6C"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L5/6</w:t>
            </w:r>
          </w:p>
        </w:tc>
        <w:tc>
          <w:tcPr>
            <w:tcW w:w="2020" w:type="dxa"/>
            <w:shd w:val="clear" w:color="auto" w:fill="auto"/>
            <w:vAlign w:val="center"/>
          </w:tcPr>
          <w:p w14:paraId="05BFA34D" w14:textId="7032620C" w:rsidR="00F36CBD" w:rsidRPr="00EF5168" w:rsidRDefault="00F36CBD" w:rsidP="00EF5168">
            <w:pPr>
              <w:pStyle w:val="MDPI31text"/>
              <w:autoSpaceDE w:val="0"/>
              <w:autoSpaceDN w:val="0"/>
              <w:spacing w:line="240" w:lineRule="auto"/>
              <w:ind w:left="0" w:firstLine="0"/>
              <w:jc w:val="center"/>
            </w:pPr>
            <w:r w:rsidRPr="00EF5168">
              <w:t>410</w:t>
            </w:r>
            <w:r w:rsidR="00FB6E67" w:rsidRPr="00EF5168">
              <w:t>8</w:t>
            </w:r>
            <w:r w:rsidR="002410F3" w:rsidRPr="00EF5168">
              <w:t xml:space="preserve"> ± 603</w:t>
            </w:r>
          </w:p>
        </w:tc>
        <w:tc>
          <w:tcPr>
            <w:tcW w:w="2020" w:type="dxa"/>
            <w:shd w:val="clear" w:color="auto" w:fill="auto"/>
            <w:vAlign w:val="center"/>
          </w:tcPr>
          <w:p w14:paraId="23E8775F" w14:textId="2A4395AF" w:rsidR="00F36CBD" w:rsidRPr="00EF5168" w:rsidRDefault="00F36CBD" w:rsidP="00EF5168">
            <w:pPr>
              <w:pStyle w:val="MDPI31text"/>
              <w:autoSpaceDE w:val="0"/>
              <w:autoSpaceDN w:val="0"/>
              <w:spacing w:line="240" w:lineRule="auto"/>
              <w:ind w:left="0" w:firstLine="0"/>
              <w:jc w:val="center"/>
            </w:pPr>
            <w:r w:rsidRPr="00EF5168">
              <w:t>531.06</w:t>
            </w:r>
          </w:p>
        </w:tc>
        <w:tc>
          <w:tcPr>
            <w:tcW w:w="1842" w:type="dxa"/>
            <w:shd w:val="clear" w:color="auto" w:fill="auto"/>
            <w:vAlign w:val="center"/>
          </w:tcPr>
          <w:p w14:paraId="28384C68" w14:textId="0A37AE1D" w:rsidR="00F36CBD" w:rsidRPr="00EF5168" w:rsidRDefault="00F36CBD" w:rsidP="00EF5168">
            <w:pPr>
              <w:pStyle w:val="MDPI31text"/>
              <w:autoSpaceDE w:val="0"/>
              <w:autoSpaceDN w:val="0"/>
              <w:spacing w:line="240" w:lineRule="auto"/>
              <w:ind w:left="0" w:firstLine="0"/>
              <w:jc w:val="center"/>
            </w:pPr>
            <w:r w:rsidRPr="00EF5168">
              <w:t>95</w:t>
            </w:r>
            <w:r w:rsidR="00FB6E67" w:rsidRPr="00EF5168">
              <w:t>2</w:t>
            </w:r>
            <w:r w:rsidR="00DF06CF" w:rsidRPr="00EF5168">
              <w:t xml:space="preserve"> ± 65</w:t>
            </w:r>
          </w:p>
        </w:tc>
      </w:tr>
      <w:tr w:rsidR="00F36CBD" w:rsidRPr="00EF5168" w14:paraId="1BD48FD8" w14:textId="77777777" w:rsidTr="00EF5168">
        <w:tc>
          <w:tcPr>
            <w:tcW w:w="1966" w:type="dxa"/>
            <w:shd w:val="clear" w:color="auto" w:fill="auto"/>
            <w:vAlign w:val="center"/>
          </w:tcPr>
          <w:p w14:paraId="041A91C2" w14:textId="6B877E9C" w:rsidR="00F36CBD" w:rsidRPr="00EF5168" w:rsidRDefault="00F36CBD" w:rsidP="00EF5168">
            <w:pPr>
              <w:pStyle w:val="MDPI31text"/>
              <w:autoSpaceDE w:val="0"/>
              <w:autoSpaceDN w:val="0"/>
              <w:spacing w:line="240" w:lineRule="auto"/>
              <w:ind w:left="0" w:firstLine="0"/>
              <w:jc w:val="center"/>
              <w:rPr>
                <w:b/>
                <w:bCs/>
                <w:szCs w:val="18"/>
              </w:rPr>
            </w:pPr>
            <w:r w:rsidRPr="00EF5168">
              <w:rPr>
                <w:b/>
                <w:bCs/>
                <w:szCs w:val="18"/>
              </w:rPr>
              <w:t>L6</w:t>
            </w:r>
          </w:p>
        </w:tc>
        <w:tc>
          <w:tcPr>
            <w:tcW w:w="2020" w:type="dxa"/>
            <w:shd w:val="clear" w:color="auto" w:fill="auto"/>
            <w:vAlign w:val="center"/>
          </w:tcPr>
          <w:p w14:paraId="0A5674FB" w14:textId="6C848FA1" w:rsidR="00F36CBD" w:rsidRPr="00EF5168" w:rsidRDefault="00F36CBD" w:rsidP="00EF5168">
            <w:pPr>
              <w:pStyle w:val="MDPI31text"/>
              <w:autoSpaceDE w:val="0"/>
              <w:autoSpaceDN w:val="0"/>
              <w:spacing w:line="240" w:lineRule="auto"/>
              <w:ind w:left="0" w:firstLine="0"/>
              <w:jc w:val="center"/>
            </w:pPr>
            <w:r w:rsidRPr="00EF5168">
              <w:t>821</w:t>
            </w:r>
            <w:r w:rsidR="00FB6E67" w:rsidRPr="00EF5168">
              <w:t>6</w:t>
            </w:r>
            <w:r w:rsidR="002410F3" w:rsidRPr="00EF5168">
              <w:t xml:space="preserve"> ± 1206</w:t>
            </w:r>
          </w:p>
        </w:tc>
        <w:tc>
          <w:tcPr>
            <w:tcW w:w="2020" w:type="dxa"/>
            <w:shd w:val="clear" w:color="auto" w:fill="auto"/>
            <w:vAlign w:val="center"/>
          </w:tcPr>
          <w:p w14:paraId="31D268D2" w14:textId="137E839B" w:rsidR="00F36CBD" w:rsidRPr="00EF5168" w:rsidRDefault="00F36CBD" w:rsidP="00EF5168">
            <w:pPr>
              <w:pStyle w:val="MDPI31text"/>
              <w:autoSpaceDE w:val="0"/>
              <w:autoSpaceDN w:val="0"/>
              <w:spacing w:line="240" w:lineRule="auto"/>
              <w:ind w:left="0" w:firstLine="0"/>
              <w:jc w:val="center"/>
            </w:pPr>
            <w:r w:rsidRPr="00EF5168">
              <w:t>1088.84</w:t>
            </w:r>
          </w:p>
        </w:tc>
        <w:tc>
          <w:tcPr>
            <w:tcW w:w="1842" w:type="dxa"/>
            <w:shd w:val="clear" w:color="auto" w:fill="auto"/>
            <w:vAlign w:val="center"/>
          </w:tcPr>
          <w:p w14:paraId="700C1D7F" w14:textId="39B58588" w:rsidR="00F36CBD" w:rsidRPr="00EF5168" w:rsidRDefault="00F36CBD" w:rsidP="00EF5168">
            <w:pPr>
              <w:pStyle w:val="MDPI31text"/>
              <w:autoSpaceDE w:val="0"/>
              <w:autoSpaceDN w:val="0"/>
              <w:spacing w:line="240" w:lineRule="auto"/>
              <w:ind w:left="0" w:firstLine="0"/>
              <w:jc w:val="center"/>
            </w:pPr>
            <w:r w:rsidRPr="00EF5168">
              <w:t>268</w:t>
            </w:r>
            <w:r w:rsidR="00787EA5" w:rsidRPr="00EF5168">
              <w:t>4</w:t>
            </w:r>
            <w:r w:rsidR="00DF06CF" w:rsidRPr="00EF5168">
              <w:t xml:space="preserve"> ± 154</w:t>
            </w:r>
          </w:p>
        </w:tc>
      </w:tr>
    </w:tbl>
    <w:p w14:paraId="68DDDAE0" w14:textId="39CBB600" w:rsidR="003C0524" w:rsidRPr="00EF5168" w:rsidRDefault="003C0524" w:rsidP="00E2168B">
      <w:pPr>
        <w:pStyle w:val="MDPI31text"/>
        <w:rPr>
          <w:sz w:val="16"/>
        </w:rPr>
      </w:pPr>
      <w:r w:rsidRPr="00EF5168">
        <w:rPr>
          <w:sz w:val="16"/>
        </w:rPr>
        <w:t xml:space="preserve">† Based on quantification of HAV stock used for spiking of samples </w:t>
      </w:r>
    </w:p>
    <w:p w14:paraId="2222B98A" w14:textId="77777777" w:rsidR="00986879" w:rsidRPr="00EF5168" w:rsidRDefault="003C0524" w:rsidP="0000048C">
      <w:pPr>
        <w:pStyle w:val="MDPI31text"/>
        <w:rPr>
          <w:sz w:val="16"/>
        </w:rPr>
      </w:pPr>
      <w:r w:rsidRPr="00EF5168">
        <w:rPr>
          <w:sz w:val="16"/>
        </w:rPr>
        <w:t>*Value below the analytical LOQ of the real-time RT-qPCR</w:t>
      </w:r>
    </w:p>
    <w:p w14:paraId="0C1E594B" w14:textId="0028F789" w:rsidR="00EF5168" w:rsidRPr="00EF5168" w:rsidRDefault="00EF5168" w:rsidP="00EF5168">
      <w:pPr>
        <w:pStyle w:val="MDPI41tablecaption"/>
        <w:jc w:val="left"/>
      </w:pPr>
      <w:r w:rsidRPr="00EF5168">
        <w:rPr>
          <w:b/>
        </w:rPr>
        <w:t xml:space="preserve">Table 2. </w:t>
      </w:r>
      <w:r w:rsidRPr="00EF5168">
        <w:t>Assessment of the ELIME assay on vegetables rinsing water.</w:t>
      </w:r>
    </w:p>
    <w:tbl>
      <w:tblPr>
        <w:tblStyle w:val="Grigliatabella"/>
        <w:tblW w:w="7857" w:type="dxa"/>
        <w:tblInd w:w="2608" w:type="dxa"/>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969"/>
        <w:gridCol w:w="2022"/>
        <w:gridCol w:w="2022"/>
        <w:gridCol w:w="1844"/>
      </w:tblGrid>
      <w:tr w:rsidR="004F20C0" w:rsidRPr="00EF5168" w14:paraId="7CD985E0" w14:textId="77777777" w:rsidTr="00EF5168">
        <w:tc>
          <w:tcPr>
            <w:tcW w:w="1966" w:type="dxa"/>
            <w:vMerge w:val="restart"/>
            <w:tcBorders>
              <w:top w:val="single" w:sz="8" w:space="0" w:color="auto"/>
              <w:bottom w:val="single" w:sz="4" w:space="0" w:color="auto"/>
            </w:tcBorders>
            <w:shd w:val="clear" w:color="auto" w:fill="auto"/>
            <w:vAlign w:val="center"/>
          </w:tcPr>
          <w:p w14:paraId="20981424" w14:textId="0330E603"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Spiking</w:t>
            </w:r>
          </w:p>
          <w:p w14:paraId="0549786E"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Level</w:t>
            </w:r>
          </w:p>
        </w:tc>
        <w:tc>
          <w:tcPr>
            <w:tcW w:w="2020" w:type="dxa"/>
            <w:vMerge w:val="restart"/>
            <w:shd w:val="clear" w:color="auto" w:fill="auto"/>
            <w:vAlign w:val="center"/>
          </w:tcPr>
          <w:p w14:paraId="6E9DD525" w14:textId="548F1CEA"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HAV expected value (g</w:t>
            </w:r>
            <w:r w:rsidR="00D8097C" w:rsidRPr="00EF5168">
              <w:rPr>
                <w:b/>
                <w:bCs/>
                <w:szCs w:val="18"/>
              </w:rPr>
              <w:t>.</w:t>
            </w:r>
            <w:r w:rsidRPr="00EF5168">
              <w:rPr>
                <w:b/>
                <w:bCs/>
                <w:szCs w:val="18"/>
              </w:rPr>
              <w:t>c</w:t>
            </w:r>
            <w:r w:rsidR="00D8097C" w:rsidRPr="00EF5168">
              <w:rPr>
                <w:b/>
                <w:bCs/>
                <w:szCs w:val="18"/>
              </w:rPr>
              <w:t>.</w:t>
            </w:r>
            <w:r w:rsidRPr="00EF5168">
              <w:rPr>
                <w:b/>
                <w:bCs/>
                <w:szCs w:val="18"/>
              </w:rPr>
              <w:t>/mL)</w:t>
            </w:r>
            <w:r w:rsidR="005B3A4B" w:rsidRPr="00EF5168">
              <w:rPr>
                <w:szCs w:val="16"/>
              </w:rPr>
              <w:t xml:space="preserve"> †</w:t>
            </w:r>
          </w:p>
        </w:tc>
        <w:tc>
          <w:tcPr>
            <w:tcW w:w="3862" w:type="dxa"/>
            <w:gridSpan w:val="2"/>
            <w:shd w:val="clear" w:color="auto" w:fill="auto"/>
            <w:vAlign w:val="center"/>
          </w:tcPr>
          <w:p w14:paraId="3806EDB2" w14:textId="60772F89"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 xml:space="preserve">HAV </w:t>
            </w:r>
            <w:r w:rsidR="00D8097C" w:rsidRPr="00EF5168">
              <w:rPr>
                <w:b/>
                <w:bCs/>
                <w:szCs w:val="18"/>
              </w:rPr>
              <w:t>measured value</w:t>
            </w:r>
          </w:p>
        </w:tc>
      </w:tr>
      <w:tr w:rsidR="004F20C0" w:rsidRPr="00EF5168" w14:paraId="62920E49" w14:textId="77777777" w:rsidTr="00EF5168">
        <w:tc>
          <w:tcPr>
            <w:tcW w:w="1966" w:type="dxa"/>
            <w:vMerge/>
            <w:tcBorders>
              <w:top w:val="single" w:sz="4" w:space="0" w:color="auto"/>
              <w:bottom w:val="single" w:sz="4" w:space="0" w:color="auto"/>
            </w:tcBorders>
            <w:shd w:val="clear" w:color="auto" w:fill="auto"/>
            <w:vAlign w:val="center"/>
          </w:tcPr>
          <w:p w14:paraId="3FF1D5C4" w14:textId="77777777" w:rsidR="004F20C0" w:rsidRPr="00EF5168" w:rsidRDefault="004F20C0" w:rsidP="00EF5168">
            <w:pPr>
              <w:pStyle w:val="MDPI31text"/>
              <w:autoSpaceDE w:val="0"/>
              <w:autoSpaceDN w:val="0"/>
              <w:spacing w:line="240" w:lineRule="auto"/>
              <w:ind w:left="0" w:firstLine="0"/>
              <w:jc w:val="center"/>
              <w:rPr>
                <w:b/>
                <w:bCs/>
                <w:szCs w:val="18"/>
              </w:rPr>
            </w:pPr>
          </w:p>
        </w:tc>
        <w:tc>
          <w:tcPr>
            <w:tcW w:w="2020" w:type="dxa"/>
            <w:vMerge/>
            <w:shd w:val="clear" w:color="auto" w:fill="auto"/>
            <w:vAlign w:val="center"/>
          </w:tcPr>
          <w:p w14:paraId="3BA28F8E" w14:textId="77777777" w:rsidR="004F20C0" w:rsidRPr="00EF5168" w:rsidRDefault="004F20C0" w:rsidP="00EF5168">
            <w:pPr>
              <w:pStyle w:val="MDPI31text"/>
              <w:autoSpaceDE w:val="0"/>
              <w:autoSpaceDN w:val="0"/>
              <w:spacing w:line="240" w:lineRule="auto"/>
              <w:ind w:left="0" w:firstLine="0"/>
              <w:jc w:val="center"/>
              <w:rPr>
                <w:b/>
                <w:bCs/>
                <w:szCs w:val="18"/>
              </w:rPr>
            </w:pPr>
          </w:p>
        </w:tc>
        <w:tc>
          <w:tcPr>
            <w:tcW w:w="2020" w:type="dxa"/>
            <w:shd w:val="clear" w:color="auto" w:fill="auto"/>
            <w:vAlign w:val="center"/>
          </w:tcPr>
          <w:p w14:paraId="6669FBC6"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ELIME assay</w:t>
            </w:r>
          </w:p>
          <w:p w14:paraId="0AECB5D2" w14:textId="446CF5A3"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 xml:space="preserve"> (</w:t>
            </w:r>
            <w:r w:rsidR="005758FC" w:rsidRPr="00EF5168">
              <w:rPr>
                <w:b/>
                <w:bCs/>
                <w:szCs w:val="18"/>
              </w:rPr>
              <w:t>g.c.</w:t>
            </w:r>
            <w:r w:rsidRPr="00EF5168">
              <w:rPr>
                <w:b/>
                <w:bCs/>
                <w:szCs w:val="18"/>
              </w:rPr>
              <w:t>/mL)</w:t>
            </w:r>
          </w:p>
        </w:tc>
        <w:tc>
          <w:tcPr>
            <w:tcW w:w="1842" w:type="dxa"/>
            <w:shd w:val="clear" w:color="auto" w:fill="auto"/>
            <w:vAlign w:val="center"/>
          </w:tcPr>
          <w:p w14:paraId="3607F96E"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RT-qPCR</w:t>
            </w:r>
          </w:p>
          <w:p w14:paraId="6AF8B704" w14:textId="049DC63B"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(g</w:t>
            </w:r>
            <w:r w:rsidR="00D8097C" w:rsidRPr="00EF5168">
              <w:rPr>
                <w:b/>
                <w:bCs/>
                <w:szCs w:val="18"/>
              </w:rPr>
              <w:t>.</w:t>
            </w:r>
            <w:r w:rsidRPr="00EF5168">
              <w:rPr>
                <w:b/>
                <w:bCs/>
                <w:szCs w:val="18"/>
              </w:rPr>
              <w:t>c</w:t>
            </w:r>
            <w:r w:rsidR="00D8097C" w:rsidRPr="00EF5168">
              <w:rPr>
                <w:b/>
                <w:bCs/>
                <w:szCs w:val="18"/>
              </w:rPr>
              <w:t>.</w:t>
            </w:r>
            <w:r w:rsidRPr="00EF5168">
              <w:rPr>
                <w:b/>
                <w:bCs/>
                <w:szCs w:val="18"/>
              </w:rPr>
              <w:t>/mL)</w:t>
            </w:r>
          </w:p>
        </w:tc>
      </w:tr>
      <w:tr w:rsidR="004F20C0" w:rsidRPr="00EF5168" w14:paraId="1B41EC3B" w14:textId="77777777" w:rsidTr="00EF5168">
        <w:tc>
          <w:tcPr>
            <w:tcW w:w="1966" w:type="dxa"/>
            <w:tcBorders>
              <w:top w:val="single" w:sz="4" w:space="0" w:color="auto"/>
              <w:bottom w:val="single" w:sz="4" w:space="0" w:color="auto"/>
            </w:tcBorders>
            <w:shd w:val="clear" w:color="auto" w:fill="auto"/>
            <w:vAlign w:val="center"/>
          </w:tcPr>
          <w:p w14:paraId="183AEDD9"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L0</w:t>
            </w:r>
          </w:p>
        </w:tc>
        <w:tc>
          <w:tcPr>
            <w:tcW w:w="2020" w:type="dxa"/>
            <w:shd w:val="clear" w:color="auto" w:fill="auto"/>
            <w:vAlign w:val="center"/>
          </w:tcPr>
          <w:p w14:paraId="27C363D1" w14:textId="77777777" w:rsidR="004F20C0" w:rsidRPr="00EF5168" w:rsidRDefault="004F20C0" w:rsidP="00EF5168">
            <w:pPr>
              <w:pStyle w:val="MDPI31text"/>
              <w:autoSpaceDE w:val="0"/>
              <w:autoSpaceDN w:val="0"/>
              <w:spacing w:line="240" w:lineRule="auto"/>
              <w:ind w:left="0" w:firstLine="0"/>
              <w:jc w:val="center"/>
            </w:pPr>
            <w:r w:rsidRPr="00EF5168">
              <w:t>-</w:t>
            </w:r>
          </w:p>
        </w:tc>
        <w:tc>
          <w:tcPr>
            <w:tcW w:w="2020" w:type="dxa"/>
            <w:shd w:val="clear" w:color="auto" w:fill="auto"/>
            <w:vAlign w:val="center"/>
          </w:tcPr>
          <w:p w14:paraId="0DD9156E" w14:textId="77777777" w:rsidR="004F20C0" w:rsidRPr="00EF5168" w:rsidRDefault="004F20C0" w:rsidP="00EF5168">
            <w:pPr>
              <w:pStyle w:val="MDPI31text"/>
              <w:autoSpaceDE w:val="0"/>
              <w:autoSpaceDN w:val="0"/>
              <w:spacing w:line="240" w:lineRule="auto"/>
              <w:ind w:left="0" w:firstLine="0"/>
              <w:jc w:val="center"/>
            </w:pPr>
            <w:r w:rsidRPr="00EF5168">
              <w:t>-</w:t>
            </w:r>
          </w:p>
        </w:tc>
        <w:tc>
          <w:tcPr>
            <w:tcW w:w="1842" w:type="dxa"/>
            <w:shd w:val="clear" w:color="auto" w:fill="auto"/>
            <w:vAlign w:val="center"/>
          </w:tcPr>
          <w:p w14:paraId="5C17E1E5" w14:textId="77777777" w:rsidR="004F20C0" w:rsidRPr="00EF5168" w:rsidRDefault="004F20C0" w:rsidP="00EF5168">
            <w:pPr>
              <w:pStyle w:val="MDPI31text"/>
              <w:autoSpaceDE w:val="0"/>
              <w:autoSpaceDN w:val="0"/>
              <w:spacing w:line="240" w:lineRule="auto"/>
              <w:ind w:left="0" w:firstLine="0"/>
              <w:jc w:val="center"/>
            </w:pPr>
            <w:r w:rsidRPr="00EF5168">
              <w:t>-</w:t>
            </w:r>
          </w:p>
        </w:tc>
      </w:tr>
      <w:tr w:rsidR="004F20C0" w:rsidRPr="00EF5168" w14:paraId="1394472D" w14:textId="77777777" w:rsidTr="00EF5168">
        <w:tc>
          <w:tcPr>
            <w:tcW w:w="1966" w:type="dxa"/>
            <w:tcBorders>
              <w:top w:val="single" w:sz="4" w:space="0" w:color="auto"/>
            </w:tcBorders>
            <w:shd w:val="clear" w:color="auto" w:fill="auto"/>
            <w:vAlign w:val="center"/>
          </w:tcPr>
          <w:p w14:paraId="4B104556"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L2</w:t>
            </w:r>
          </w:p>
        </w:tc>
        <w:tc>
          <w:tcPr>
            <w:tcW w:w="2020" w:type="dxa"/>
            <w:shd w:val="clear" w:color="auto" w:fill="auto"/>
            <w:vAlign w:val="center"/>
          </w:tcPr>
          <w:p w14:paraId="4A40CD08" w14:textId="4CE44E7A" w:rsidR="004F20C0" w:rsidRPr="00EF5168" w:rsidRDefault="004F20C0" w:rsidP="00EF5168">
            <w:pPr>
              <w:pStyle w:val="MDPI31text"/>
              <w:autoSpaceDE w:val="0"/>
              <w:autoSpaceDN w:val="0"/>
              <w:spacing w:line="240" w:lineRule="auto"/>
              <w:ind w:left="0" w:firstLine="0"/>
              <w:jc w:val="center"/>
            </w:pPr>
            <w:r w:rsidRPr="00EF5168">
              <w:t>0.91</w:t>
            </w:r>
            <w:r w:rsidR="00A84061" w:rsidRPr="00EF5168">
              <w:t xml:space="preserve"> ± 0.34</w:t>
            </w:r>
          </w:p>
        </w:tc>
        <w:tc>
          <w:tcPr>
            <w:tcW w:w="2020" w:type="dxa"/>
            <w:shd w:val="clear" w:color="auto" w:fill="auto"/>
            <w:vAlign w:val="center"/>
          </w:tcPr>
          <w:p w14:paraId="33068F1D" w14:textId="4157C8B3" w:rsidR="004F20C0" w:rsidRPr="00EF5168" w:rsidRDefault="004F20C0" w:rsidP="00EF5168">
            <w:pPr>
              <w:pStyle w:val="MDPI31text"/>
              <w:autoSpaceDE w:val="0"/>
              <w:autoSpaceDN w:val="0"/>
              <w:spacing w:line="240" w:lineRule="auto"/>
              <w:ind w:left="0" w:firstLine="0"/>
              <w:jc w:val="center"/>
            </w:pPr>
            <w:r w:rsidRPr="00EF5168">
              <w:t>1.50</w:t>
            </w:r>
          </w:p>
        </w:tc>
        <w:tc>
          <w:tcPr>
            <w:tcW w:w="1842" w:type="dxa"/>
            <w:shd w:val="clear" w:color="auto" w:fill="auto"/>
            <w:vAlign w:val="center"/>
          </w:tcPr>
          <w:p w14:paraId="1DAD11E5" w14:textId="77777777" w:rsidR="004F20C0" w:rsidRPr="00EF5168" w:rsidRDefault="004F20C0" w:rsidP="00EF5168">
            <w:pPr>
              <w:pStyle w:val="MDPI31text"/>
              <w:autoSpaceDE w:val="0"/>
              <w:autoSpaceDN w:val="0"/>
              <w:spacing w:line="240" w:lineRule="auto"/>
              <w:ind w:left="0" w:firstLine="0"/>
              <w:jc w:val="center"/>
            </w:pPr>
            <w:r w:rsidRPr="00EF5168">
              <w:t>-</w:t>
            </w:r>
          </w:p>
        </w:tc>
      </w:tr>
      <w:tr w:rsidR="004F20C0" w:rsidRPr="00EF5168" w14:paraId="29E68677" w14:textId="77777777" w:rsidTr="00EF5168">
        <w:tc>
          <w:tcPr>
            <w:tcW w:w="1966" w:type="dxa"/>
            <w:shd w:val="clear" w:color="auto" w:fill="auto"/>
            <w:vAlign w:val="center"/>
          </w:tcPr>
          <w:p w14:paraId="3A7B39AD"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L2/3</w:t>
            </w:r>
          </w:p>
        </w:tc>
        <w:tc>
          <w:tcPr>
            <w:tcW w:w="2020" w:type="dxa"/>
            <w:shd w:val="clear" w:color="auto" w:fill="auto"/>
            <w:vAlign w:val="center"/>
          </w:tcPr>
          <w:p w14:paraId="246081C2" w14:textId="5008045B" w:rsidR="004F20C0" w:rsidRPr="00EF5168" w:rsidRDefault="004F20C0" w:rsidP="00EF5168">
            <w:pPr>
              <w:pStyle w:val="MDPI31text"/>
              <w:autoSpaceDE w:val="0"/>
              <w:autoSpaceDN w:val="0"/>
              <w:spacing w:line="240" w:lineRule="auto"/>
              <w:ind w:left="0" w:firstLine="0"/>
              <w:jc w:val="center"/>
            </w:pPr>
            <w:r w:rsidRPr="00EF5168">
              <w:t>4.56</w:t>
            </w:r>
            <w:r w:rsidR="00787EA5" w:rsidRPr="00EF5168">
              <w:t xml:space="preserve"> ± 1.67</w:t>
            </w:r>
          </w:p>
        </w:tc>
        <w:tc>
          <w:tcPr>
            <w:tcW w:w="2020" w:type="dxa"/>
            <w:shd w:val="clear" w:color="auto" w:fill="auto"/>
            <w:vAlign w:val="center"/>
          </w:tcPr>
          <w:p w14:paraId="255EB623" w14:textId="49A8E447" w:rsidR="004F20C0" w:rsidRPr="00EF5168" w:rsidRDefault="004F20C0" w:rsidP="00EF5168">
            <w:pPr>
              <w:pStyle w:val="MDPI31text"/>
              <w:autoSpaceDE w:val="0"/>
              <w:autoSpaceDN w:val="0"/>
              <w:spacing w:line="240" w:lineRule="auto"/>
              <w:ind w:left="0" w:firstLine="0"/>
              <w:jc w:val="center"/>
            </w:pPr>
            <w:r w:rsidRPr="00EF5168">
              <w:t>1.66</w:t>
            </w:r>
          </w:p>
        </w:tc>
        <w:tc>
          <w:tcPr>
            <w:tcW w:w="1842" w:type="dxa"/>
            <w:shd w:val="clear" w:color="auto" w:fill="auto"/>
            <w:vAlign w:val="center"/>
          </w:tcPr>
          <w:p w14:paraId="3D7E1B35" w14:textId="1AEA2903" w:rsidR="004F20C0" w:rsidRPr="00EF5168" w:rsidRDefault="004F20C0" w:rsidP="00EF5168">
            <w:pPr>
              <w:pStyle w:val="MDPI31text"/>
              <w:autoSpaceDE w:val="0"/>
              <w:autoSpaceDN w:val="0"/>
              <w:spacing w:line="240" w:lineRule="auto"/>
              <w:ind w:left="0" w:firstLine="0"/>
              <w:jc w:val="center"/>
            </w:pPr>
            <w:r w:rsidRPr="00EF5168">
              <w:t>0.19*</w:t>
            </w:r>
            <w:r w:rsidR="00D8097C" w:rsidRPr="00EF5168">
              <w:t xml:space="preserve"> ± 0.16</w:t>
            </w:r>
          </w:p>
        </w:tc>
      </w:tr>
      <w:tr w:rsidR="004F20C0" w:rsidRPr="00EF5168" w14:paraId="3CA9C3BD" w14:textId="77777777" w:rsidTr="00EF5168">
        <w:tc>
          <w:tcPr>
            <w:tcW w:w="1966" w:type="dxa"/>
            <w:shd w:val="clear" w:color="auto" w:fill="auto"/>
            <w:vAlign w:val="center"/>
          </w:tcPr>
          <w:p w14:paraId="0BC13E47"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L3</w:t>
            </w:r>
          </w:p>
        </w:tc>
        <w:tc>
          <w:tcPr>
            <w:tcW w:w="2020" w:type="dxa"/>
            <w:shd w:val="clear" w:color="auto" w:fill="auto"/>
            <w:vAlign w:val="center"/>
          </w:tcPr>
          <w:p w14:paraId="0F7EE25E" w14:textId="7FF23E70" w:rsidR="004F20C0" w:rsidRPr="00EF5168" w:rsidRDefault="004F20C0" w:rsidP="00EF5168">
            <w:pPr>
              <w:pStyle w:val="MDPI31text"/>
              <w:autoSpaceDE w:val="0"/>
              <w:autoSpaceDN w:val="0"/>
              <w:spacing w:line="240" w:lineRule="auto"/>
              <w:ind w:left="0" w:firstLine="0"/>
              <w:jc w:val="center"/>
            </w:pPr>
            <w:r w:rsidRPr="00EF5168">
              <w:t>9.12</w:t>
            </w:r>
            <w:r w:rsidR="00A84061" w:rsidRPr="00EF5168">
              <w:t xml:space="preserve"> ± 3.34</w:t>
            </w:r>
          </w:p>
        </w:tc>
        <w:tc>
          <w:tcPr>
            <w:tcW w:w="2020" w:type="dxa"/>
            <w:shd w:val="clear" w:color="auto" w:fill="auto"/>
            <w:vAlign w:val="center"/>
          </w:tcPr>
          <w:p w14:paraId="11BEE8F2" w14:textId="07FEC470" w:rsidR="004F20C0" w:rsidRPr="00EF5168" w:rsidRDefault="004F20C0" w:rsidP="00EF5168">
            <w:pPr>
              <w:pStyle w:val="MDPI31text"/>
              <w:autoSpaceDE w:val="0"/>
              <w:autoSpaceDN w:val="0"/>
              <w:spacing w:line="240" w:lineRule="auto"/>
              <w:ind w:left="0" w:firstLine="0"/>
              <w:jc w:val="center"/>
            </w:pPr>
            <w:r w:rsidRPr="00EF5168">
              <w:t>1.69</w:t>
            </w:r>
          </w:p>
        </w:tc>
        <w:tc>
          <w:tcPr>
            <w:tcW w:w="1842" w:type="dxa"/>
            <w:shd w:val="clear" w:color="auto" w:fill="auto"/>
            <w:vAlign w:val="center"/>
          </w:tcPr>
          <w:p w14:paraId="63FB599D" w14:textId="6DB56FE8" w:rsidR="004F20C0" w:rsidRPr="00EF5168" w:rsidRDefault="004F20C0" w:rsidP="00EF5168">
            <w:pPr>
              <w:pStyle w:val="MDPI31text"/>
              <w:autoSpaceDE w:val="0"/>
              <w:autoSpaceDN w:val="0"/>
              <w:spacing w:line="240" w:lineRule="auto"/>
              <w:ind w:left="0" w:firstLine="0"/>
              <w:jc w:val="center"/>
            </w:pPr>
            <w:r w:rsidRPr="00EF5168">
              <w:t>0.40*</w:t>
            </w:r>
            <w:r w:rsidR="00D8097C" w:rsidRPr="00EF5168">
              <w:t xml:space="preserve"> ± 0.09</w:t>
            </w:r>
          </w:p>
        </w:tc>
      </w:tr>
      <w:tr w:rsidR="004F20C0" w:rsidRPr="00EF5168" w14:paraId="78302F11" w14:textId="77777777" w:rsidTr="00EF5168">
        <w:tc>
          <w:tcPr>
            <w:tcW w:w="1966" w:type="dxa"/>
            <w:shd w:val="clear" w:color="auto" w:fill="auto"/>
            <w:vAlign w:val="center"/>
          </w:tcPr>
          <w:p w14:paraId="57C6EC1F"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L3/4</w:t>
            </w:r>
          </w:p>
        </w:tc>
        <w:tc>
          <w:tcPr>
            <w:tcW w:w="2020" w:type="dxa"/>
            <w:shd w:val="clear" w:color="auto" w:fill="auto"/>
            <w:vAlign w:val="center"/>
          </w:tcPr>
          <w:p w14:paraId="055D3F87" w14:textId="39C1D770" w:rsidR="004F20C0" w:rsidRPr="00EF5168" w:rsidRDefault="004F20C0" w:rsidP="00EF5168">
            <w:pPr>
              <w:pStyle w:val="MDPI31text"/>
              <w:autoSpaceDE w:val="0"/>
              <w:autoSpaceDN w:val="0"/>
              <w:spacing w:line="240" w:lineRule="auto"/>
              <w:ind w:left="0" w:firstLine="0"/>
              <w:jc w:val="center"/>
            </w:pPr>
            <w:r w:rsidRPr="00EF5168">
              <w:t>45.59</w:t>
            </w:r>
            <w:r w:rsidR="00787EA5" w:rsidRPr="00EF5168">
              <w:t xml:space="preserve"> ± 16.67</w:t>
            </w:r>
          </w:p>
        </w:tc>
        <w:tc>
          <w:tcPr>
            <w:tcW w:w="2020" w:type="dxa"/>
            <w:shd w:val="clear" w:color="auto" w:fill="auto"/>
            <w:vAlign w:val="center"/>
          </w:tcPr>
          <w:p w14:paraId="655ABE7C" w14:textId="7669AD3D" w:rsidR="004F20C0" w:rsidRPr="00EF5168" w:rsidRDefault="004F20C0" w:rsidP="00EF5168">
            <w:pPr>
              <w:pStyle w:val="MDPI31text"/>
              <w:autoSpaceDE w:val="0"/>
              <w:autoSpaceDN w:val="0"/>
              <w:spacing w:line="240" w:lineRule="auto"/>
              <w:ind w:left="0" w:firstLine="0"/>
              <w:jc w:val="center"/>
            </w:pPr>
            <w:r w:rsidRPr="00EF5168">
              <w:t>1.98</w:t>
            </w:r>
          </w:p>
        </w:tc>
        <w:tc>
          <w:tcPr>
            <w:tcW w:w="1842" w:type="dxa"/>
            <w:shd w:val="clear" w:color="auto" w:fill="auto"/>
            <w:vAlign w:val="center"/>
          </w:tcPr>
          <w:p w14:paraId="654A8DD6" w14:textId="04429CF1" w:rsidR="004F20C0" w:rsidRPr="00EF5168" w:rsidRDefault="004F20C0" w:rsidP="00EF5168">
            <w:pPr>
              <w:pStyle w:val="MDPI31text"/>
              <w:autoSpaceDE w:val="0"/>
              <w:autoSpaceDN w:val="0"/>
              <w:spacing w:line="240" w:lineRule="auto"/>
              <w:ind w:left="0" w:firstLine="0"/>
              <w:jc w:val="center"/>
            </w:pPr>
            <w:r w:rsidRPr="00EF5168">
              <w:t>0.53*</w:t>
            </w:r>
            <w:r w:rsidR="00D8097C" w:rsidRPr="00EF5168">
              <w:t xml:space="preserve"> ± 0.36</w:t>
            </w:r>
          </w:p>
        </w:tc>
      </w:tr>
      <w:tr w:rsidR="004F20C0" w:rsidRPr="00EF5168" w14:paraId="3BDCE025" w14:textId="77777777" w:rsidTr="00EF5168">
        <w:tc>
          <w:tcPr>
            <w:tcW w:w="1966" w:type="dxa"/>
            <w:shd w:val="clear" w:color="auto" w:fill="auto"/>
            <w:vAlign w:val="center"/>
          </w:tcPr>
          <w:p w14:paraId="6B8AA7B1"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L4</w:t>
            </w:r>
          </w:p>
        </w:tc>
        <w:tc>
          <w:tcPr>
            <w:tcW w:w="2020" w:type="dxa"/>
            <w:shd w:val="clear" w:color="auto" w:fill="auto"/>
            <w:vAlign w:val="center"/>
          </w:tcPr>
          <w:p w14:paraId="41502FB4" w14:textId="45DDD7CF" w:rsidR="004F20C0" w:rsidRPr="00EF5168" w:rsidRDefault="004F20C0" w:rsidP="00EF5168">
            <w:pPr>
              <w:pStyle w:val="MDPI31text"/>
              <w:autoSpaceDE w:val="0"/>
              <w:autoSpaceDN w:val="0"/>
              <w:spacing w:line="240" w:lineRule="auto"/>
              <w:ind w:left="0" w:firstLine="0"/>
              <w:jc w:val="center"/>
            </w:pPr>
            <w:r w:rsidRPr="00EF5168">
              <w:t>91.18</w:t>
            </w:r>
            <w:r w:rsidR="00A84061" w:rsidRPr="00EF5168">
              <w:t xml:space="preserve"> ± 33.34</w:t>
            </w:r>
          </w:p>
        </w:tc>
        <w:tc>
          <w:tcPr>
            <w:tcW w:w="2020" w:type="dxa"/>
            <w:shd w:val="clear" w:color="auto" w:fill="auto"/>
            <w:vAlign w:val="center"/>
          </w:tcPr>
          <w:p w14:paraId="3C42F6B7" w14:textId="6E1B4DB8" w:rsidR="004F20C0" w:rsidRPr="00EF5168" w:rsidRDefault="004F20C0" w:rsidP="00EF5168">
            <w:pPr>
              <w:pStyle w:val="MDPI31text"/>
              <w:autoSpaceDE w:val="0"/>
              <w:autoSpaceDN w:val="0"/>
              <w:spacing w:line="240" w:lineRule="auto"/>
              <w:ind w:left="0" w:firstLine="0"/>
              <w:jc w:val="center"/>
            </w:pPr>
            <w:r w:rsidRPr="00EF5168">
              <w:t>2.18</w:t>
            </w:r>
          </w:p>
        </w:tc>
        <w:tc>
          <w:tcPr>
            <w:tcW w:w="1842" w:type="dxa"/>
            <w:shd w:val="clear" w:color="auto" w:fill="auto"/>
            <w:vAlign w:val="center"/>
          </w:tcPr>
          <w:p w14:paraId="6FFF9AA7" w14:textId="2BEE9378" w:rsidR="004F20C0" w:rsidRPr="00EF5168" w:rsidRDefault="004F20C0" w:rsidP="00EF5168">
            <w:pPr>
              <w:pStyle w:val="MDPI31text"/>
              <w:autoSpaceDE w:val="0"/>
              <w:autoSpaceDN w:val="0"/>
              <w:spacing w:line="240" w:lineRule="auto"/>
              <w:ind w:left="0" w:firstLine="0"/>
              <w:jc w:val="center"/>
            </w:pPr>
            <w:r w:rsidRPr="00EF5168">
              <w:t>0.96*</w:t>
            </w:r>
            <w:r w:rsidR="00D8097C" w:rsidRPr="00EF5168">
              <w:t xml:space="preserve"> ± 0.73</w:t>
            </w:r>
          </w:p>
        </w:tc>
      </w:tr>
      <w:tr w:rsidR="004F20C0" w:rsidRPr="00EF5168" w14:paraId="0912B7B3" w14:textId="77777777" w:rsidTr="00EF5168">
        <w:tc>
          <w:tcPr>
            <w:tcW w:w="1966" w:type="dxa"/>
            <w:shd w:val="clear" w:color="auto" w:fill="auto"/>
            <w:vAlign w:val="center"/>
          </w:tcPr>
          <w:p w14:paraId="238FBF70"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L4/5</w:t>
            </w:r>
          </w:p>
        </w:tc>
        <w:tc>
          <w:tcPr>
            <w:tcW w:w="2020" w:type="dxa"/>
            <w:shd w:val="clear" w:color="auto" w:fill="auto"/>
            <w:vAlign w:val="center"/>
          </w:tcPr>
          <w:p w14:paraId="5CAFF6EA" w14:textId="50BC2D6E" w:rsidR="004F20C0" w:rsidRPr="00EF5168" w:rsidRDefault="004F20C0" w:rsidP="00EF5168">
            <w:pPr>
              <w:pStyle w:val="MDPI31text"/>
              <w:autoSpaceDE w:val="0"/>
              <w:autoSpaceDN w:val="0"/>
              <w:spacing w:line="240" w:lineRule="auto"/>
              <w:ind w:left="0" w:firstLine="0"/>
              <w:jc w:val="center"/>
            </w:pPr>
            <w:r w:rsidRPr="00EF5168">
              <w:t>455.89</w:t>
            </w:r>
            <w:r w:rsidR="00787EA5" w:rsidRPr="00EF5168">
              <w:t xml:space="preserve"> ± 166.68</w:t>
            </w:r>
          </w:p>
        </w:tc>
        <w:tc>
          <w:tcPr>
            <w:tcW w:w="2020" w:type="dxa"/>
            <w:shd w:val="clear" w:color="auto" w:fill="auto"/>
            <w:vAlign w:val="center"/>
          </w:tcPr>
          <w:p w14:paraId="65A056EE" w14:textId="1A165F8B" w:rsidR="004F20C0" w:rsidRPr="00EF5168" w:rsidRDefault="004F20C0" w:rsidP="00EF5168">
            <w:pPr>
              <w:pStyle w:val="MDPI31text"/>
              <w:autoSpaceDE w:val="0"/>
              <w:autoSpaceDN w:val="0"/>
              <w:spacing w:line="240" w:lineRule="auto"/>
              <w:ind w:left="0" w:firstLine="0"/>
              <w:jc w:val="center"/>
            </w:pPr>
            <w:r w:rsidRPr="00EF5168">
              <w:t>3.60</w:t>
            </w:r>
          </w:p>
        </w:tc>
        <w:tc>
          <w:tcPr>
            <w:tcW w:w="1842" w:type="dxa"/>
            <w:shd w:val="clear" w:color="auto" w:fill="auto"/>
            <w:vAlign w:val="center"/>
          </w:tcPr>
          <w:p w14:paraId="5333E631" w14:textId="0283A92C" w:rsidR="004F20C0" w:rsidRPr="00EF5168" w:rsidRDefault="004F20C0" w:rsidP="00EF5168">
            <w:pPr>
              <w:pStyle w:val="MDPI31text"/>
              <w:autoSpaceDE w:val="0"/>
              <w:autoSpaceDN w:val="0"/>
              <w:spacing w:line="240" w:lineRule="auto"/>
              <w:ind w:left="0" w:firstLine="0"/>
              <w:jc w:val="center"/>
            </w:pPr>
            <w:r w:rsidRPr="00EF5168">
              <w:t>4.04</w:t>
            </w:r>
            <w:r w:rsidR="00D8097C" w:rsidRPr="00EF5168">
              <w:t xml:space="preserve"> ± 2.01</w:t>
            </w:r>
          </w:p>
        </w:tc>
      </w:tr>
      <w:tr w:rsidR="004F20C0" w:rsidRPr="00EF5168" w14:paraId="73941BD2" w14:textId="77777777" w:rsidTr="00EF5168">
        <w:tc>
          <w:tcPr>
            <w:tcW w:w="1966" w:type="dxa"/>
            <w:shd w:val="clear" w:color="auto" w:fill="auto"/>
            <w:vAlign w:val="center"/>
          </w:tcPr>
          <w:p w14:paraId="2E1E15F6"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L5</w:t>
            </w:r>
          </w:p>
        </w:tc>
        <w:tc>
          <w:tcPr>
            <w:tcW w:w="2020" w:type="dxa"/>
            <w:shd w:val="clear" w:color="auto" w:fill="auto"/>
            <w:vAlign w:val="center"/>
          </w:tcPr>
          <w:p w14:paraId="533D403A" w14:textId="73F3A6A1" w:rsidR="004F20C0" w:rsidRPr="00EF5168" w:rsidRDefault="004F20C0" w:rsidP="00EF5168">
            <w:pPr>
              <w:pStyle w:val="MDPI31text"/>
              <w:autoSpaceDE w:val="0"/>
              <w:autoSpaceDN w:val="0"/>
              <w:spacing w:line="240" w:lineRule="auto"/>
              <w:ind w:left="0" w:firstLine="0"/>
              <w:jc w:val="center"/>
            </w:pPr>
            <w:r w:rsidRPr="00EF5168">
              <w:t>911.78</w:t>
            </w:r>
            <w:r w:rsidR="00A84061" w:rsidRPr="00EF5168">
              <w:t xml:space="preserve"> ± 333.36</w:t>
            </w:r>
          </w:p>
        </w:tc>
        <w:tc>
          <w:tcPr>
            <w:tcW w:w="2020" w:type="dxa"/>
            <w:shd w:val="clear" w:color="auto" w:fill="auto"/>
            <w:vAlign w:val="center"/>
          </w:tcPr>
          <w:p w14:paraId="6FD5E44F" w14:textId="74CD9684" w:rsidR="004F20C0" w:rsidRPr="00EF5168" w:rsidRDefault="004F20C0" w:rsidP="00EF5168">
            <w:pPr>
              <w:pStyle w:val="MDPI31text"/>
              <w:autoSpaceDE w:val="0"/>
              <w:autoSpaceDN w:val="0"/>
              <w:spacing w:line="240" w:lineRule="auto"/>
              <w:ind w:left="0" w:firstLine="0"/>
              <w:jc w:val="center"/>
            </w:pPr>
            <w:r w:rsidRPr="00EF5168">
              <w:t>30.83</w:t>
            </w:r>
          </w:p>
        </w:tc>
        <w:tc>
          <w:tcPr>
            <w:tcW w:w="1842" w:type="dxa"/>
            <w:shd w:val="clear" w:color="auto" w:fill="auto"/>
            <w:vAlign w:val="center"/>
          </w:tcPr>
          <w:p w14:paraId="7BA49279" w14:textId="2555402A" w:rsidR="004F20C0" w:rsidRPr="00EF5168" w:rsidRDefault="004F20C0" w:rsidP="00EF5168">
            <w:pPr>
              <w:pStyle w:val="MDPI31text"/>
              <w:autoSpaceDE w:val="0"/>
              <w:autoSpaceDN w:val="0"/>
              <w:spacing w:line="240" w:lineRule="auto"/>
              <w:ind w:left="0" w:firstLine="0"/>
              <w:jc w:val="center"/>
            </w:pPr>
            <w:r w:rsidRPr="00EF5168">
              <w:t>6.46</w:t>
            </w:r>
            <w:r w:rsidR="00D8097C" w:rsidRPr="00EF5168">
              <w:t xml:space="preserve"> ± 0.30</w:t>
            </w:r>
          </w:p>
        </w:tc>
      </w:tr>
      <w:tr w:rsidR="004F20C0" w:rsidRPr="00EF5168" w14:paraId="7DAD20ED" w14:textId="77777777" w:rsidTr="00EF5168">
        <w:tc>
          <w:tcPr>
            <w:tcW w:w="1966" w:type="dxa"/>
            <w:shd w:val="clear" w:color="auto" w:fill="auto"/>
            <w:vAlign w:val="center"/>
          </w:tcPr>
          <w:p w14:paraId="13FC4ED6"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L5/6</w:t>
            </w:r>
          </w:p>
        </w:tc>
        <w:tc>
          <w:tcPr>
            <w:tcW w:w="2020" w:type="dxa"/>
            <w:shd w:val="clear" w:color="auto" w:fill="auto"/>
            <w:vAlign w:val="center"/>
          </w:tcPr>
          <w:p w14:paraId="516931D8" w14:textId="3701B0C6" w:rsidR="004F20C0" w:rsidRPr="00EF5168" w:rsidRDefault="004F20C0" w:rsidP="00EF5168">
            <w:pPr>
              <w:pStyle w:val="MDPI31text"/>
              <w:autoSpaceDE w:val="0"/>
              <w:autoSpaceDN w:val="0"/>
              <w:spacing w:line="240" w:lineRule="auto"/>
              <w:ind w:left="0" w:firstLine="0"/>
              <w:jc w:val="center"/>
            </w:pPr>
            <w:r w:rsidRPr="00EF5168">
              <w:t>4558.94</w:t>
            </w:r>
            <w:r w:rsidR="00787EA5" w:rsidRPr="00EF5168">
              <w:t xml:space="preserve"> ± 1666.79</w:t>
            </w:r>
          </w:p>
        </w:tc>
        <w:tc>
          <w:tcPr>
            <w:tcW w:w="2020" w:type="dxa"/>
            <w:shd w:val="clear" w:color="auto" w:fill="auto"/>
            <w:vAlign w:val="center"/>
          </w:tcPr>
          <w:p w14:paraId="4BAA1DF5" w14:textId="0DA47475" w:rsidR="004F20C0" w:rsidRPr="00EF5168" w:rsidRDefault="004F20C0" w:rsidP="00EF5168">
            <w:pPr>
              <w:pStyle w:val="MDPI31text"/>
              <w:autoSpaceDE w:val="0"/>
              <w:autoSpaceDN w:val="0"/>
              <w:spacing w:line="240" w:lineRule="auto"/>
              <w:ind w:left="0" w:firstLine="0"/>
              <w:jc w:val="center"/>
            </w:pPr>
            <w:r w:rsidRPr="00EF5168">
              <w:t>135.71</w:t>
            </w:r>
          </w:p>
        </w:tc>
        <w:tc>
          <w:tcPr>
            <w:tcW w:w="1842" w:type="dxa"/>
            <w:shd w:val="clear" w:color="auto" w:fill="auto"/>
            <w:vAlign w:val="center"/>
          </w:tcPr>
          <w:p w14:paraId="584C2ED2" w14:textId="01C8522E" w:rsidR="004F20C0" w:rsidRPr="00EF5168" w:rsidRDefault="004F20C0" w:rsidP="00EF5168">
            <w:pPr>
              <w:pStyle w:val="MDPI31text"/>
              <w:autoSpaceDE w:val="0"/>
              <w:autoSpaceDN w:val="0"/>
              <w:spacing w:line="240" w:lineRule="auto"/>
              <w:ind w:left="0" w:firstLine="0"/>
              <w:jc w:val="center"/>
            </w:pPr>
            <w:r w:rsidRPr="00EF5168">
              <w:t>86.85</w:t>
            </w:r>
            <w:r w:rsidR="00D8097C" w:rsidRPr="00EF5168">
              <w:t xml:space="preserve"> ± 5.21</w:t>
            </w:r>
          </w:p>
        </w:tc>
      </w:tr>
      <w:tr w:rsidR="004F20C0" w:rsidRPr="00EF5168" w14:paraId="3DBDF3AE" w14:textId="77777777" w:rsidTr="00EF5168">
        <w:tc>
          <w:tcPr>
            <w:tcW w:w="1966" w:type="dxa"/>
            <w:shd w:val="clear" w:color="auto" w:fill="auto"/>
            <w:vAlign w:val="center"/>
          </w:tcPr>
          <w:p w14:paraId="75D520DA" w14:textId="77777777" w:rsidR="004F20C0" w:rsidRPr="00EF5168" w:rsidRDefault="004F20C0" w:rsidP="00EF5168">
            <w:pPr>
              <w:pStyle w:val="MDPI31text"/>
              <w:autoSpaceDE w:val="0"/>
              <w:autoSpaceDN w:val="0"/>
              <w:spacing w:line="240" w:lineRule="auto"/>
              <w:ind w:left="0" w:firstLine="0"/>
              <w:jc w:val="center"/>
              <w:rPr>
                <w:b/>
                <w:bCs/>
                <w:szCs w:val="18"/>
              </w:rPr>
            </w:pPr>
            <w:r w:rsidRPr="00EF5168">
              <w:rPr>
                <w:b/>
                <w:bCs/>
                <w:szCs w:val="18"/>
              </w:rPr>
              <w:t>L6</w:t>
            </w:r>
          </w:p>
        </w:tc>
        <w:tc>
          <w:tcPr>
            <w:tcW w:w="2020" w:type="dxa"/>
            <w:shd w:val="clear" w:color="auto" w:fill="auto"/>
            <w:vAlign w:val="center"/>
          </w:tcPr>
          <w:p w14:paraId="0C5A35AC" w14:textId="41F9E4C8" w:rsidR="004F20C0" w:rsidRPr="00EF5168" w:rsidRDefault="004F20C0" w:rsidP="00EF5168">
            <w:pPr>
              <w:pStyle w:val="MDPI31text"/>
              <w:autoSpaceDE w:val="0"/>
              <w:autoSpaceDN w:val="0"/>
              <w:spacing w:line="240" w:lineRule="auto"/>
              <w:ind w:left="0" w:firstLine="0"/>
              <w:jc w:val="center"/>
            </w:pPr>
            <w:r w:rsidRPr="00EF5168">
              <w:t>9117.87</w:t>
            </w:r>
            <w:r w:rsidR="00A84061" w:rsidRPr="00EF5168">
              <w:t xml:space="preserve"> ± 3333.58</w:t>
            </w:r>
          </w:p>
        </w:tc>
        <w:tc>
          <w:tcPr>
            <w:tcW w:w="2020" w:type="dxa"/>
            <w:shd w:val="clear" w:color="auto" w:fill="auto"/>
            <w:vAlign w:val="center"/>
          </w:tcPr>
          <w:p w14:paraId="7BC9BF4D" w14:textId="46774E0F" w:rsidR="004F20C0" w:rsidRPr="00EF5168" w:rsidRDefault="004F20C0" w:rsidP="00EF5168">
            <w:pPr>
              <w:pStyle w:val="MDPI31text"/>
              <w:autoSpaceDE w:val="0"/>
              <w:autoSpaceDN w:val="0"/>
              <w:spacing w:line="240" w:lineRule="auto"/>
              <w:ind w:left="0" w:firstLine="0"/>
              <w:jc w:val="center"/>
            </w:pPr>
            <w:r w:rsidRPr="00EF5168">
              <w:t>229.09</w:t>
            </w:r>
          </w:p>
        </w:tc>
        <w:tc>
          <w:tcPr>
            <w:tcW w:w="1842" w:type="dxa"/>
            <w:shd w:val="clear" w:color="auto" w:fill="auto"/>
            <w:vAlign w:val="center"/>
          </w:tcPr>
          <w:p w14:paraId="05BCF98B" w14:textId="3632C245" w:rsidR="004F20C0" w:rsidRPr="00EF5168" w:rsidRDefault="004F20C0" w:rsidP="00EF5168">
            <w:pPr>
              <w:pStyle w:val="MDPI31text"/>
              <w:autoSpaceDE w:val="0"/>
              <w:autoSpaceDN w:val="0"/>
              <w:spacing w:line="240" w:lineRule="auto"/>
              <w:ind w:left="0" w:firstLine="0"/>
              <w:jc w:val="center"/>
            </w:pPr>
            <w:r w:rsidRPr="00EF5168">
              <w:t>93.02</w:t>
            </w:r>
            <w:r w:rsidR="00D8097C" w:rsidRPr="00EF5168">
              <w:t xml:space="preserve"> ± 3.53</w:t>
            </w:r>
          </w:p>
        </w:tc>
      </w:tr>
    </w:tbl>
    <w:p w14:paraId="1C3CAF8F" w14:textId="26A93C51" w:rsidR="00EB0B34" w:rsidRPr="00EF5168" w:rsidRDefault="00D30C76" w:rsidP="00D30C76">
      <w:pPr>
        <w:pStyle w:val="MDPI31text"/>
        <w:ind w:left="0" w:firstLine="0"/>
        <w:rPr>
          <w:sz w:val="16"/>
          <w:szCs w:val="16"/>
        </w:rPr>
      </w:pPr>
      <w:r w:rsidRPr="00EF5168">
        <w:t xml:space="preserve">                             </w:t>
      </w:r>
      <w:r w:rsidR="00EB0B34" w:rsidRPr="00EF5168">
        <w:rPr>
          <w:sz w:val="16"/>
          <w:szCs w:val="16"/>
        </w:rPr>
        <w:t xml:space="preserve">† Based on quantification of HAV stock used for spiking of samples </w:t>
      </w:r>
    </w:p>
    <w:p w14:paraId="5F27CD00" w14:textId="77777777" w:rsidR="00EB0B34" w:rsidRPr="00EF5168" w:rsidRDefault="00EB0B34" w:rsidP="00EB0B34">
      <w:pPr>
        <w:pStyle w:val="MDPI31text"/>
        <w:rPr>
          <w:sz w:val="16"/>
          <w:szCs w:val="16"/>
        </w:rPr>
      </w:pPr>
      <w:r w:rsidRPr="00EF5168">
        <w:rPr>
          <w:sz w:val="16"/>
          <w:szCs w:val="16"/>
        </w:rPr>
        <w:t xml:space="preserve">*Value below the analytical LOQ of the </w:t>
      </w:r>
      <w:bookmarkStart w:id="1" w:name="_Hlk149663224"/>
      <w:r w:rsidRPr="00EF5168">
        <w:rPr>
          <w:sz w:val="16"/>
          <w:szCs w:val="16"/>
        </w:rPr>
        <w:t>real-time RT-qPCR</w:t>
      </w:r>
      <w:r w:rsidRPr="00EF5168" w:rsidDel="00117A08">
        <w:rPr>
          <w:sz w:val="16"/>
          <w:szCs w:val="16"/>
        </w:rPr>
        <w:t xml:space="preserve"> </w:t>
      </w:r>
      <w:bookmarkEnd w:id="1"/>
    </w:p>
    <w:p w14:paraId="41A227A0" w14:textId="71385A0B" w:rsidR="007B4E41" w:rsidRPr="00EF5168" w:rsidRDefault="00EF5168" w:rsidP="00EF5168">
      <w:pPr>
        <w:pStyle w:val="MDPI22heading2"/>
        <w:spacing w:before="240"/>
      </w:pPr>
      <w:r w:rsidRPr="00EF5168">
        <w:t xml:space="preserve">3.3. </w:t>
      </w:r>
      <w:r w:rsidR="007B4E41" w:rsidRPr="00EF5168">
        <w:t>Comparison of the performance and cost-benefit analysis</w:t>
      </w:r>
    </w:p>
    <w:p w14:paraId="04D70530" w14:textId="33ECBD6D" w:rsidR="007B4E41" w:rsidRPr="00EF5168" w:rsidRDefault="00597CE5" w:rsidP="00EF5168">
      <w:pPr>
        <w:pStyle w:val="MDPI31text"/>
      </w:pPr>
      <w:r w:rsidRPr="00EF5168">
        <w:t xml:space="preserve">The performance of the ELIME sensor presented in this study was benchmarked against previously reported HAV sensors, as detailed in Table 3. The analytical capabilities of the ELIME method are noteworthy, particularly given its simplicity of assembly </w:t>
      </w:r>
      <w:r w:rsidRPr="00EF5168">
        <w:lastRenderedPageBreak/>
        <w:t>and a projected cost that is approximately five times lower than existing alternatives. Furthermore, it is critical to highlight that the ELIME assay’s features address significant challenges in the microbiological monitoring of water sources used in food production. Its application facilitates on-site monitoring along production lines, significantly reduces costs, and thereby promotes more comprehensive and frequent control measures. Consequently, the ELIME method represents a substantial advancement in the detection of HAV in complex real-world samples.</w:t>
      </w:r>
    </w:p>
    <w:p w14:paraId="1C2BC6E8" w14:textId="5A4F4728" w:rsidR="00EF5168" w:rsidRPr="00EF5168" w:rsidRDefault="00EF5168" w:rsidP="00EF5168">
      <w:pPr>
        <w:pStyle w:val="MDPI41tablecaption"/>
        <w:jc w:val="left"/>
      </w:pPr>
      <w:r w:rsidRPr="00EF5168">
        <w:rPr>
          <w:b/>
        </w:rPr>
        <w:t xml:space="preserve">Table 3. </w:t>
      </w:r>
      <w:r w:rsidRPr="00EF5168">
        <w:rPr>
          <w:rFonts w:eastAsiaTheme="minorEastAsia"/>
        </w:rPr>
        <w:t>The performance of the ELIME sensor and previously reported HAV sensors.</w:t>
      </w:r>
    </w:p>
    <w:tbl>
      <w:tblPr>
        <w:tblStyle w:val="Grigliatabella"/>
        <w:tblW w:w="7857" w:type="dxa"/>
        <w:tblInd w:w="2608" w:type="dxa"/>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84"/>
        <w:gridCol w:w="1799"/>
        <w:gridCol w:w="2399"/>
        <w:gridCol w:w="1475"/>
      </w:tblGrid>
      <w:tr w:rsidR="003B0D1C" w:rsidRPr="00EF5168" w14:paraId="42C4EA74" w14:textId="77777777" w:rsidTr="00EF5168">
        <w:tc>
          <w:tcPr>
            <w:tcW w:w="2184" w:type="dxa"/>
            <w:tcBorders>
              <w:top w:val="single" w:sz="8" w:space="0" w:color="auto"/>
              <w:bottom w:val="single" w:sz="4" w:space="0" w:color="auto"/>
            </w:tcBorders>
            <w:shd w:val="clear" w:color="auto" w:fill="auto"/>
            <w:vAlign w:val="center"/>
          </w:tcPr>
          <w:p w14:paraId="47EEB0AB" w14:textId="77777777" w:rsidR="007B4E41" w:rsidRPr="00EF5168" w:rsidRDefault="007B4E41" w:rsidP="00EF5168">
            <w:pPr>
              <w:pStyle w:val="MDPI31text"/>
              <w:autoSpaceDE w:val="0"/>
              <w:autoSpaceDN w:val="0"/>
              <w:spacing w:line="240" w:lineRule="auto"/>
              <w:ind w:left="0" w:firstLine="0"/>
              <w:jc w:val="center"/>
              <w:rPr>
                <w:b/>
              </w:rPr>
            </w:pPr>
            <w:r w:rsidRPr="00EF5168">
              <w:rPr>
                <w:b/>
              </w:rPr>
              <w:t>Transductor</w:t>
            </w:r>
          </w:p>
        </w:tc>
        <w:tc>
          <w:tcPr>
            <w:tcW w:w="1799" w:type="dxa"/>
            <w:tcBorders>
              <w:top w:val="single" w:sz="8" w:space="0" w:color="auto"/>
              <w:bottom w:val="single" w:sz="4" w:space="0" w:color="auto"/>
            </w:tcBorders>
            <w:shd w:val="clear" w:color="auto" w:fill="auto"/>
            <w:vAlign w:val="center"/>
          </w:tcPr>
          <w:p w14:paraId="2AFC6CBC"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szCs w:val="18"/>
              </w:rPr>
              <w:t>LOD</w:t>
            </w:r>
          </w:p>
        </w:tc>
        <w:tc>
          <w:tcPr>
            <w:tcW w:w="2399" w:type="dxa"/>
            <w:tcBorders>
              <w:top w:val="single" w:sz="8" w:space="0" w:color="auto"/>
              <w:bottom w:val="single" w:sz="4" w:space="0" w:color="auto"/>
            </w:tcBorders>
            <w:shd w:val="clear" w:color="auto" w:fill="auto"/>
            <w:vAlign w:val="center"/>
          </w:tcPr>
          <w:p w14:paraId="30E42F41"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szCs w:val="18"/>
              </w:rPr>
              <w:t>Sample</w:t>
            </w:r>
          </w:p>
        </w:tc>
        <w:tc>
          <w:tcPr>
            <w:tcW w:w="1475" w:type="dxa"/>
            <w:tcBorders>
              <w:top w:val="single" w:sz="8" w:space="0" w:color="auto"/>
              <w:bottom w:val="single" w:sz="4" w:space="0" w:color="auto"/>
            </w:tcBorders>
            <w:shd w:val="clear" w:color="auto" w:fill="auto"/>
            <w:vAlign w:val="center"/>
          </w:tcPr>
          <w:p w14:paraId="3CF5AAFA"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szCs w:val="18"/>
              </w:rPr>
              <w:t>Reference</w:t>
            </w:r>
          </w:p>
        </w:tc>
      </w:tr>
      <w:tr w:rsidR="003B0D1C" w:rsidRPr="00EF5168" w14:paraId="198FC934" w14:textId="77777777" w:rsidTr="00EF5168">
        <w:tc>
          <w:tcPr>
            <w:tcW w:w="2184" w:type="dxa"/>
            <w:tcBorders>
              <w:top w:val="single" w:sz="4" w:space="0" w:color="auto"/>
            </w:tcBorders>
            <w:shd w:val="clear" w:color="auto" w:fill="auto"/>
            <w:vAlign w:val="center"/>
          </w:tcPr>
          <w:p w14:paraId="0607EB31"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szCs w:val="18"/>
              </w:rPr>
              <w:t>MNPs–pDA</w:t>
            </w:r>
            <w:r w:rsidRPr="00EF5168">
              <w:rPr>
                <w:b w:val="0"/>
                <w:bCs/>
                <w:szCs w:val="18"/>
              </w:rPr>
              <w:t xml:space="preserve"> ELIME</w:t>
            </w:r>
          </w:p>
        </w:tc>
        <w:tc>
          <w:tcPr>
            <w:tcW w:w="1799" w:type="dxa"/>
            <w:tcBorders>
              <w:top w:val="single" w:sz="4" w:space="0" w:color="auto"/>
            </w:tcBorders>
            <w:shd w:val="clear" w:color="auto" w:fill="auto"/>
            <w:vAlign w:val="center"/>
          </w:tcPr>
          <w:p w14:paraId="78D66148"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bCs/>
                <w:szCs w:val="18"/>
              </w:rPr>
              <w:t>10</w:t>
            </w:r>
            <w:r w:rsidRPr="00EF5168">
              <w:rPr>
                <w:b w:val="0"/>
                <w:bCs/>
                <w:szCs w:val="18"/>
                <w:vertAlign w:val="superscript"/>
              </w:rPr>
              <w:t>-11</w:t>
            </w:r>
            <w:r w:rsidRPr="00EF5168">
              <w:rPr>
                <w:b w:val="0"/>
                <w:bCs/>
                <w:szCs w:val="18"/>
              </w:rPr>
              <w:t xml:space="preserve"> IU/mL</w:t>
            </w:r>
          </w:p>
        </w:tc>
        <w:tc>
          <w:tcPr>
            <w:tcW w:w="2399" w:type="dxa"/>
            <w:tcBorders>
              <w:top w:val="single" w:sz="4" w:space="0" w:color="auto"/>
            </w:tcBorders>
            <w:shd w:val="clear" w:color="auto" w:fill="auto"/>
            <w:vAlign w:val="center"/>
          </w:tcPr>
          <w:p w14:paraId="535F06FC"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bCs/>
                <w:szCs w:val="18"/>
              </w:rPr>
              <w:t>Tap water</w:t>
            </w:r>
          </w:p>
        </w:tc>
        <w:tc>
          <w:tcPr>
            <w:tcW w:w="1475" w:type="dxa"/>
            <w:tcBorders>
              <w:top w:val="single" w:sz="4" w:space="0" w:color="auto"/>
            </w:tcBorders>
            <w:shd w:val="clear" w:color="auto" w:fill="auto"/>
            <w:vAlign w:val="center"/>
          </w:tcPr>
          <w:p w14:paraId="7F9BC6E3" w14:textId="2308495A" w:rsidR="007B4E41" w:rsidRPr="00EF5168" w:rsidRDefault="007B4E41" w:rsidP="00EF5168">
            <w:pPr>
              <w:pStyle w:val="MDPI21heading1"/>
              <w:autoSpaceDE w:val="0"/>
              <w:autoSpaceDN w:val="0"/>
              <w:spacing w:before="0" w:after="0" w:line="240" w:lineRule="auto"/>
              <w:ind w:left="0"/>
              <w:jc w:val="center"/>
              <w:outlineLvl w:val="9"/>
              <w:rPr>
                <w:b w:val="0"/>
                <w:bCs/>
                <w:szCs w:val="18"/>
              </w:rPr>
            </w:pPr>
            <w:r w:rsidRPr="00EF5168">
              <w:rPr>
                <w:b w:val="0"/>
                <w:bCs/>
                <w:szCs w:val="18"/>
              </w:rPr>
              <w:fldChar w:fldCharType="begin"/>
            </w:r>
            <w:r w:rsidR="00EA44A7" w:rsidRPr="00EF5168">
              <w:rPr>
                <w:b w:val="0"/>
                <w:bCs/>
                <w:szCs w:val="18"/>
              </w:rPr>
              <w:instrText xml:space="preserve"> ADDIN ZOTERO_ITEM CSL_CITATION {"citationID":"Ttb4wfHf","properties":{"formattedCitation":"[18]","plainCitation":"[18]","dontUpdate":true,"noteIndex":0},"citationItems":[{"id":131,"uris":["http://zotero.org/users/local/n3CkrUVW/items/GRBPPL83"],"itemData":{"id":131,"type":"article-journal","abstract":"An Enzyme Linked ImmunoMagnetic Electrochemical assay (ELIME) was developed for the detection of the hepatitis A virus (HAV). This system is based on the use of new polydopamine-modified magnetic nanobeads as solid support for the immunochemical chain, and an array of 8 screen-printed electrodes as a sensing platform. Enzymatic-by-product is quickly measured by differential pulse voltammetry. For this purpose, all analytical parameters were optimized; in particular, different blocking reagents were evaluated in order to minimize the nonspecific interaction of bioreagents. Using the ELIME assays, a quantitative determination of HAV can be achieved with a detection limit of 1·10−11 IU mL−1 and a working range between 10−10 – 5 × 10−7 IU mL−1. The cross-reactivity of the commercial monoclonal antibodies against HAV used in ELIME assays was tested for Coxsackie B4, resulting very low. The sensitivity was also investigated and compared with spectrophotometric sandwich ELISA. The average relative standard deviation (RSD) of the ELIME method was less than 5% for the assays performed on the same day, and 7% for the measurements made on different days. The proposed system was applied to the cell culture of HAV, which title was quantified by Real-Time Quantitative Reverse Transcription PCR (RT¬qPCR). To compare the results, a correlation between the units used in ELIME (IU mL−1) and those used in RT¬qPCR (genome mL−1) was established using a HAV-positive sample, resulting in 1 IU mL−1–10−4 gen mL−1 (R2 = 0.978). The ELIME tool exhibits good stability and high biological selectivity for HAV antigen detection and was successfully applied for the determination of HAV in tap water.","container-title":"Talanta","DOI":"10.1016/j.talanta.2021.122672","ISSN":"0039-9140","journalAbbreviation":"Talanta","page":"122672","title":"An ELIME assay for hepatitis A virus detection","volume":"234","author":[{"family":"Micheli","given":"Laura"},{"family":"Fasoli","given":"Andrea"},{"family":"Attar","given":"Aisha"},{"family":"Donia","given":"Domenica T."},{"family":"Divizia","given":"Maurizio"},{"family":"Amine","given":"Aziz"},{"family":"Palleschi","given":"Giuseppe"},{"family":"Salazar Carballo","given":"Pedro A."},{"family":"Moscone","given":"Danila"}],"issued":{"date-parts":[["2021",11,1]]}}}],"schema":"https://github.com/citation-style-language/schema/raw/master/csl-citation.json"} </w:instrText>
            </w:r>
            <w:r w:rsidRPr="00EF5168">
              <w:rPr>
                <w:b w:val="0"/>
                <w:bCs/>
                <w:szCs w:val="18"/>
              </w:rPr>
              <w:fldChar w:fldCharType="separate"/>
            </w:r>
            <w:r w:rsidRPr="00EF5168">
              <w:rPr>
                <w:b w:val="0"/>
                <w:bCs/>
                <w:szCs w:val="18"/>
              </w:rPr>
              <w:t>[</w:t>
            </w:r>
            <w:r w:rsidR="005C6679" w:rsidRPr="00EF5168">
              <w:rPr>
                <w:b w:val="0"/>
                <w:bCs/>
                <w:szCs w:val="18"/>
              </w:rPr>
              <w:t>21</w:t>
            </w:r>
            <w:r w:rsidRPr="00EF5168">
              <w:rPr>
                <w:b w:val="0"/>
                <w:bCs/>
                <w:szCs w:val="18"/>
              </w:rPr>
              <w:t>]</w:t>
            </w:r>
            <w:r w:rsidRPr="00EF5168">
              <w:rPr>
                <w:b w:val="0"/>
                <w:bCs/>
                <w:szCs w:val="18"/>
              </w:rPr>
              <w:fldChar w:fldCharType="end"/>
            </w:r>
          </w:p>
        </w:tc>
      </w:tr>
      <w:tr w:rsidR="003B0D1C" w:rsidRPr="00EF5168" w14:paraId="0A6C3791" w14:textId="77777777" w:rsidTr="00EF5168">
        <w:tc>
          <w:tcPr>
            <w:tcW w:w="2184" w:type="dxa"/>
            <w:shd w:val="clear" w:color="auto" w:fill="auto"/>
            <w:vAlign w:val="center"/>
          </w:tcPr>
          <w:p w14:paraId="61AB8350"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bCs/>
                <w:szCs w:val="18"/>
              </w:rPr>
              <w:t>MIP-SPE</w:t>
            </w:r>
          </w:p>
        </w:tc>
        <w:tc>
          <w:tcPr>
            <w:tcW w:w="1799" w:type="dxa"/>
            <w:shd w:val="clear" w:color="auto" w:fill="auto"/>
            <w:vAlign w:val="center"/>
          </w:tcPr>
          <w:p w14:paraId="0BD9801D"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bCs/>
                <w:color w:val="1F1F1F"/>
                <w:szCs w:val="18"/>
              </w:rPr>
              <w:t>4.6×10</w:t>
            </w:r>
            <w:r w:rsidRPr="00EF5168">
              <w:rPr>
                <w:b w:val="0"/>
                <w:bCs/>
                <w:color w:val="1F1F1F"/>
                <w:szCs w:val="18"/>
                <w:vertAlign w:val="superscript"/>
              </w:rPr>
              <w:t>−4</w:t>
            </w:r>
            <w:r w:rsidRPr="00EF5168">
              <w:rPr>
                <w:b w:val="0"/>
                <w:bCs/>
                <w:color w:val="1F1F1F"/>
                <w:szCs w:val="18"/>
              </w:rPr>
              <w:t> ng/mL</w:t>
            </w:r>
          </w:p>
        </w:tc>
        <w:tc>
          <w:tcPr>
            <w:tcW w:w="2399" w:type="dxa"/>
            <w:shd w:val="clear" w:color="auto" w:fill="auto"/>
            <w:vAlign w:val="center"/>
          </w:tcPr>
          <w:p w14:paraId="3214892A"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bCs/>
                <w:szCs w:val="18"/>
              </w:rPr>
              <w:t>Human plasma</w:t>
            </w:r>
          </w:p>
        </w:tc>
        <w:tc>
          <w:tcPr>
            <w:tcW w:w="1475" w:type="dxa"/>
            <w:shd w:val="clear" w:color="auto" w:fill="auto"/>
            <w:vAlign w:val="center"/>
          </w:tcPr>
          <w:p w14:paraId="58DEE5AD" w14:textId="2CD87795" w:rsidR="007B4E41" w:rsidRPr="00EF5168" w:rsidRDefault="007B4E41" w:rsidP="00EF5168">
            <w:pPr>
              <w:pStyle w:val="MDPI21heading1"/>
              <w:autoSpaceDE w:val="0"/>
              <w:autoSpaceDN w:val="0"/>
              <w:spacing w:before="0" w:after="0" w:line="240" w:lineRule="auto"/>
              <w:ind w:left="0"/>
              <w:jc w:val="center"/>
              <w:outlineLvl w:val="9"/>
              <w:rPr>
                <w:b w:val="0"/>
                <w:bCs/>
                <w:szCs w:val="18"/>
              </w:rPr>
            </w:pPr>
            <w:r w:rsidRPr="00EF5168">
              <w:rPr>
                <w:b w:val="0"/>
                <w:bCs/>
                <w:szCs w:val="18"/>
              </w:rPr>
              <w:fldChar w:fldCharType="begin"/>
            </w:r>
            <w:r w:rsidR="001052A1" w:rsidRPr="00EF5168">
              <w:rPr>
                <w:b w:val="0"/>
                <w:bCs/>
                <w:szCs w:val="18"/>
              </w:rPr>
              <w:instrText xml:space="preserve"> ADDIN ZOTERO_ITEM CSL_CITATION {"citationID":"qfSHF73d","properties":{"formattedCitation":"[35]","plainCitation":"[35]","noteIndex":0},"citationItems":[{"id":586,"uris":["http://zotero.org/users/local/n3CkrUVW/items/V5FZUQ3T"],"itemData":{"id":586,"type":"article-journal","container-title":"Talanta","DOI":"10.1016/j.talanta.2022.123737","ISSN":"00399140","journalAbbreviation":"Talanta","language":"en","page":"123737","source":"DOI.org (Crossref)","title":"MIP-based electrochemical sensor for direct detection of hepatitis C virus via E2 envelope protein","volume":"250","author":[{"family":"Antipchik","given":"Mariia"},{"family":"Reut","given":"Jekaterina"},{"family":"Ayankojo","given":"Akinrinade George"},{"family":"Öpik","given":"Andres"},{"family":"Syritski","given":"Vitali"}],"issued":{"date-parts":[["2022",12]]}}}],"schema":"https://github.com/citation-style-language/schema/raw/master/csl-citation.json"} </w:instrText>
            </w:r>
            <w:r w:rsidRPr="00EF5168">
              <w:rPr>
                <w:b w:val="0"/>
                <w:bCs/>
                <w:szCs w:val="18"/>
              </w:rPr>
              <w:fldChar w:fldCharType="separate"/>
            </w:r>
            <w:r w:rsidR="001052A1" w:rsidRPr="00EF5168">
              <w:rPr>
                <w:szCs w:val="18"/>
              </w:rPr>
              <w:t>[35]</w:t>
            </w:r>
            <w:r w:rsidRPr="00EF5168">
              <w:rPr>
                <w:b w:val="0"/>
                <w:bCs/>
                <w:szCs w:val="18"/>
              </w:rPr>
              <w:fldChar w:fldCharType="end"/>
            </w:r>
          </w:p>
        </w:tc>
      </w:tr>
      <w:tr w:rsidR="003B0D1C" w:rsidRPr="00EF5168" w14:paraId="5BDB9B77" w14:textId="77777777" w:rsidTr="00EF5168">
        <w:tc>
          <w:tcPr>
            <w:tcW w:w="2184" w:type="dxa"/>
            <w:shd w:val="clear" w:color="auto" w:fill="auto"/>
            <w:vAlign w:val="center"/>
          </w:tcPr>
          <w:p w14:paraId="6B1B67F4"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bCs/>
                <w:szCs w:val="18"/>
              </w:rPr>
              <w:t>DNA-SPE</w:t>
            </w:r>
          </w:p>
        </w:tc>
        <w:tc>
          <w:tcPr>
            <w:tcW w:w="1799" w:type="dxa"/>
            <w:shd w:val="clear" w:color="auto" w:fill="auto"/>
            <w:vAlign w:val="center"/>
          </w:tcPr>
          <w:p w14:paraId="156FDA47"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bCs/>
                <w:szCs w:val="18"/>
              </w:rPr>
              <w:t>6.94 fg/µL</w:t>
            </w:r>
          </w:p>
        </w:tc>
        <w:tc>
          <w:tcPr>
            <w:tcW w:w="2399" w:type="dxa"/>
            <w:shd w:val="clear" w:color="auto" w:fill="auto"/>
            <w:vAlign w:val="center"/>
          </w:tcPr>
          <w:p w14:paraId="7F159926" w14:textId="77777777" w:rsidR="007B4E41" w:rsidRPr="00EF5168" w:rsidRDefault="007B4E41" w:rsidP="00EF5168">
            <w:pPr>
              <w:pStyle w:val="MDPI21heading1"/>
              <w:autoSpaceDE w:val="0"/>
              <w:autoSpaceDN w:val="0"/>
              <w:spacing w:before="0" w:after="0" w:line="240" w:lineRule="auto"/>
              <w:ind w:left="0"/>
              <w:jc w:val="center"/>
              <w:outlineLvl w:val="9"/>
              <w:rPr>
                <w:szCs w:val="18"/>
              </w:rPr>
            </w:pPr>
            <w:r w:rsidRPr="00EF5168">
              <w:rPr>
                <w:b w:val="0"/>
                <w:bCs/>
                <w:szCs w:val="18"/>
              </w:rPr>
              <w:t>PBS</w:t>
            </w:r>
          </w:p>
        </w:tc>
        <w:tc>
          <w:tcPr>
            <w:tcW w:w="1475" w:type="dxa"/>
            <w:shd w:val="clear" w:color="auto" w:fill="auto"/>
            <w:vAlign w:val="center"/>
          </w:tcPr>
          <w:p w14:paraId="7AA15251" w14:textId="2E2AECBC" w:rsidR="007B4E41" w:rsidRPr="00EF5168" w:rsidRDefault="007B4E41" w:rsidP="00EF5168">
            <w:pPr>
              <w:pStyle w:val="MDPI21heading1"/>
              <w:autoSpaceDE w:val="0"/>
              <w:autoSpaceDN w:val="0"/>
              <w:spacing w:before="0" w:after="0" w:line="240" w:lineRule="auto"/>
              <w:ind w:left="0"/>
              <w:jc w:val="center"/>
              <w:outlineLvl w:val="9"/>
              <w:rPr>
                <w:b w:val="0"/>
                <w:bCs/>
                <w:szCs w:val="18"/>
              </w:rPr>
            </w:pPr>
            <w:r w:rsidRPr="00EF5168">
              <w:rPr>
                <w:b w:val="0"/>
                <w:bCs/>
                <w:szCs w:val="18"/>
              </w:rPr>
              <w:fldChar w:fldCharType="begin"/>
            </w:r>
            <w:r w:rsidR="001052A1" w:rsidRPr="00EF5168">
              <w:rPr>
                <w:b w:val="0"/>
                <w:bCs/>
                <w:szCs w:val="18"/>
              </w:rPr>
              <w:instrText xml:space="preserve"> ADDIN ZOTERO_ITEM CSL_CITATION {"citationID":"psp6HpGH","properties":{"formattedCitation":"[36]","plainCitation":"[36]","noteIndex":0},"citationItems":[{"id":587,"uris":["http://zotero.org/users/local/n3CkrUVW/items/LMMKP4M2"],"itemData":{"id":587,"type":"article-journal","container-title":"Biosensors and Bioelectronics","DOI":"10.1016/j.bios.2017.08.043","ISSN":"09565663","journalAbbreviation":"Biosensors and Bioelectronics","language":"en","page":"89-95","source":"DOI.org (Crossref)","title":"Rapid and label-free electrochemical DNA biosensor for detecting hepatitis A virus","volume":"100","author":[{"family":"Manzano","given":"Marisa"},{"family":"Viezzi","given":"Sara"},{"family":"Mazerat","given":"Sandra"},{"family":"Marks","given":"Robert S."},{"family":"Vidic","given":"Jasmina"}],"issued":{"date-parts":[["2018",2]]}}}],"schema":"https://github.com/citation-style-language/schema/raw/master/csl-citation.json"} </w:instrText>
            </w:r>
            <w:r w:rsidRPr="00EF5168">
              <w:rPr>
                <w:b w:val="0"/>
                <w:bCs/>
                <w:szCs w:val="18"/>
              </w:rPr>
              <w:fldChar w:fldCharType="separate"/>
            </w:r>
            <w:r w:rsidR="001052A1" w:rsidRPr="00EF5168">
              <w:rPr>
                <w:szCs w:val="18"/>
              </w:rPr>
              <w:t>[36]</w:t>
            </w:r>
            <w:r w:rsidRPr="00EF5168">
              <w:rPr>
                <w:b w:val="0"/>
                <w:bCs/>
                <w:szCs w:val="18"/>
              </w:rPr>
              <w:fldChar w:fldCharType="end"/>
            </w:r>
          </w:p>
        </w:tc>
      </w:tr>
      <w:tr w:rsidR="003B0D1C" w:rsidRPr="00EF5168" w14:paraId="60BB95B2" w14:textId="77777777" w:rsidTr="00EF5168">
        <w:tc>
          <w:tcPr>
            <w:tcW w:w="2184" w:type="dxa"/>
            <w:shd w:val="clear" w:color="auto" w:fill="auto"/>
            <w:vAlign w:val="center"/>
          </w:tcPr>
          <w:p w14:paraId="3FEDFCC0" w14:textId="77777777" w:rsidR="007B4E41" w:rsidRPr="00EF5168" w:rsidRDefault="007B4E41" w:rsidP="00EF5168">
            <w:pPr>
              <w:pStyle w:val="MDPI21heading1"/>
              <w:autoSpaceDE w:val="0"/>
              <w:autoSpaceDN w:val="0"/>
              <w:spacing w:before="0" w:after="0" w:line="240" w:lineRule="auto"/>
              <w:ind w:left="0"/>
              <w:jc w:val="center"/>
              <w:outlineLvl w:val="9"/>
              <w:rPr>
                <w:b w:val="0"/>
                <w:bCs/>
                <w:szCs w:val="18"/>
              </w:rPr>
            </w:pPr>
            <w:r w:rsidRPr="00EF5168">
              <w:rPr>
                <w:b w:val="0"/>
                <w:bCs/>
                <w:szCs w:val="18"/>
              </w:rPr>
              <w:t>ELIME</w:t>
            </w:r>
          </w:p>
        </w:tc>
        <w:tc>
          <w:tcPr>
            <w:tcW w:w="1799" w:type="dxa"/>
            <w:shd w:val="clear" w:color="auto" w:fill="auto"/>
            <w:vAlign w:val="center"/>
          </w:tcPr>
          <w:p w14:paraId="280630E9" w14:textId="77777777" w:rsidR="007B4E41" w:rsidRPr="00EF5168" w:rsidRDefault="007B4E41" w:rsidP="00EF5168">
            <w:pPr>
              <w:pStyle w:val="MDPI21heading1"/>
              <w:autoSpaceDE w:val="0"/>
              <w:autoSpaceDN w:val="0"/>
              <w:spacing w:before="0" w:after="0" w:line="240" w:lineRule="auto"/>
              <w:ind w:left="0"/>
              <w:jc w:val="center"/>
              <w:outlineLvl w:val="9"/>
              <w:rPr>
                <w:b w:val="0"/>
                <w:bCs/>
                <w:szCs w:val="18"/>
              </w:rPr>
            </w:pPr>
            <w:r w:rsidRPr="00EF5168">
              <w:rPr>
                <w:b w:val="0"/>
                <w:bCs/>
                <w:szCs w:val="18"/>
              </w:rPr>
              <w:t>0.5 g.c./mL</w:t>
            </w:r>
          </w:p>
        </w:tc>
        <w:tc>
          <w:tcPr>
            <w:tcW w:w="2399" w:type="dxa"/>
            <w:shd w:val="clear" w:color="auto" w:fill="auto"/>
            <w:vAlign w:val="center"/>
          </w:tcPr>
          <w:p w14:paraId="108F2859" w14:textId="77777777" w:rsidR="007B4E41" w:rsidRPr="00EF5168" w:rsidRDefault="007B4E41" w:rsidP="00EF5168">
            <w:pPr>
              <w:pStyle w:val="MDPI21heading1"/>
              <w:autoSpaceDE w:val="0"/>
              <w:autoSpaceDN w:val="0"/>
              <w:spacing w:before="0" w:after="0" w:line="240" w:lineRule="auto"/>
              <w:ind w:left="0"/>
              <w:jc w:val="center"/>
              <w:outlineLvl w:val="9"/>
              <w:rPr>
                <w:b w:val="0"/>
                <w:bCs/>
                <w:szCs w:val="18"/>
              </w:rPr>
            </w:pPr>
            <w:r w:rsidRPr="00EF5168">
              <w:rPr>
                <w:b w:val="0"/>
                <w:bCs/>
                <w:szCs w:val="18"/>
              </w:rPr>
              <w:t>Drinking and vegetables rinsing water</w:t>
            </w:r>
          </w:p>
        </w:tc>
        <w:tc>
          <w:tcPr>
            <w:tcW w:w="1475" w:type="dxa"/>
            <w:shd w:val="clear" w:color="auto" w:fill="auto"/>
            <w:vAlign w:val="center"/>
          </w:tcPr>
          <w:p w14:paraId="5F0B9FAB" w14:textId="77777777" w:rsidR="007B4E41" w:rsidRPr="00EF5168" w:rsidRDefault="007B4E41" w:rsidP="00EF5168">
            <w:pPr>
              <w:pStyle w:val="MDPI21heading1"/>
              <w:autoSpaceDE w:val="0"/>
              <w:autoSpaceDN w:val="0"/>
              <w:spacing w:before="0" w:after="0" w:line="240" w:lineRule="auto"/>
              <w:ind w:left="0"/>
              <w:jc w:val="center"/>
              <w:outlineLvl w:val="9"/>
              <w:rPr>
                <w:b w:val="0"/>
                <w:bCs/>
                <w:szCs w:val="18"/>
              </w:rPr>
            </w:pPr>
            <w:r w:rsidRPr="00EF5168">
              <w:rPr>
                <w:b w:val="0"/>
                <w:bCs/>
                <w:szCs w:val="18"/>
              </w:rPr>
              <w:t>This work</w:t>
            </w:r>
          </w:p>
        </w:tc>
      </w:tr>
    </w:tbl>
    <w:p w14:paraId="438A67B7" w14:textId="20AA110D" w:rsidR="00EB0B34" w:rsidRPr="00EF5168" w:rsidRDefault="00EF5168" w:rsidP="00EF5168">
      <w:pPr>
        <w:pStyle w:val="MDPI21heading1"/>
      </w:pPr>
      <w:r w:rsidRPr="00EF5168">
        <w:t xml:space="preserve">4. </w:t>
      </w:r>
      <w:r w:rsidR="00EB0B34" w:rsidRPr="00EF5168">
        <w:t>Conclusions</w:t>
      </w:r>
    </w:p>
    <w:p w14:paraId="4FE22557" w14:textId="599F2C29" w:rsidR="00B57500" w:rsidRPr="00EF5168" w:rsidRDefault="00B57500" w:rsidP="00EF5168">
      <w:pPr>
        <w:pStyle w:val="MDPI31text"/>
      </w:pPr>
      <w:r w:rsidRPr="00EF5168">
        <w:t xml:space="preserve">Currently, spectrophotometric ELISA and qPCR are the primary methods for diagnosing HAV infections in humans and monitoring the virus in food, respectively. Notably, serological testing for HAV, commonly used to investigate abnormal liver function, may face challenges in accurately diagnosing acute infection, particularly when IgG testing is inconclusive or low-level anti-HAV IgM results are observed. </w:t>
      </w:r>
    </w:p>
    <w:p w14:paraId="009F25FF" w14:textId="77777777" w:rsidR="00597CE5" w:rsidRPr="00EF5168" w:rsidRDefault="00B57500" w:rsidP="00EF5168">
      <w:pPr>
        <w:pStyle w:val="MDPI31text"/>
      </w:pPr>
      <w:r w:rsidRPr="00EF5168">
        <w:t>In this study, we present a robust analytical method as an alternative to real-time RT-qPCR for detecting HAV in water samples. The developed ELIME assay effectively identified HAV in both drinking water and vegetable rinsing water, demonstrating high comparability to conventional reference methods. These findings highlight its potential application in agricultural contexts, such as the monitoring of irrigation water, and in food processing environments for real-time checks in washing systems, where viruses detached from treated vegetables may remain suspended and pose a risk of cross-contamination to subsequent batches. Furthermore, due to its straightforward design, this method can be adapted for the detection of a wide range of environmentally significant pathogens by simply substituting the analyte-specific bioreceptor.</w:t>
      </w:r>
      <w:r w:rsidR="00597CE5" w:rsidRPr="00EF5168">
        <w:t xml:space="preserve"> </w:t>
      </w:r>
    </w:p>
    <w:p w14:paraId="30E55929" w14:textId="77777777" w:rsidR="00DF168C" w:rsidRPr="00EF5168" w:rsidRDefault="00DF168C" w:rsidP="00597CE5">
      <w:pPr>
        <w:pStyle w:val="MDPI31text"/>
        <w:ind w:left="2552" w:firstLine="0"/>
        <w:rPr>
          <w:rStyle w:val="Enfasigrassetto"/>
          <w:rFonts w:cs="Helvetica"/>
          <w:color w:val="222222"/>
          <w:sz w:val="18"/>
          <w:szCs w:val="18"/>
        </w:rPr>
      </w:pPr>
    </w:p>
    <w:p w14:paraId="61B956FF" w14:textId="74385A19" w:rsidR="008116E8" w:rsidRPr="00EF5168" w:rsidRDefault="008116E8" w:rsidP="00597CE5">
      <w:pPr>
        <w:pStyle w:val="MDPI31text"/>
        <w:ind w:left="2552" w:firstLine="0"/>
        <w:rPr>
          <w:rFonts w:ascii="Helvetica" w:hAnsi="Helvetica" w:cs="Helvetica"/>
          <w:color w:val="222222"/>
          <w:sz w:val="18"/>
          <w:szCs w:val="18"/>
        </w:rPr>
      </w:pPr>
      <w:r w:rsidRPr="00EF5168">
        <w:rPr>
          <w:rStyle w:val="Enfasigrassetto"/>
          <w:rFonts w:cs="Helvetica"/>
          <w:color w:val="222222"/>
          <w:sz w:val="18"/>
          <w:szCs w:val="18"/>
        </w:rPr>
        <w:t>Author Contributions:</w:t>
      </w:r>
      <w:r w:rsidRPr="00EF5168">
        <w:rPr>
          <w:rFonts w:cs="Helvetica"/>
          <w:color w:val="222222"/>
          <w:sz w:val="18"/>
          <w:szCs w:val="18"/>
        </w:rPr>
        <w:t> </w:t>
      </w:r>
      <w:r w:rsidR="00C86251" w:rsidRPr="00EF5168">
        <w:rPr>
          <w:rFonts w:cs="Helvetica"/>
          <w:color w:val="222222"/>
          <w:sz w:val="18"/>
          <w:szCs w:val="18"/>
        </w:rPr>
        <w:t xml:space="preserve">Formal Analysis, </w:t>
      </w:r>
      <w:r w:rsidR="00B57500" w:rsidRPr="00EF5168">
        <w:rPr>
          <w:rFonts w:cs="Helvetica"/>
          <w:color w:val="222222"/>
          <w:sz w:val="18"/>
          <w:szCs w:val="18"/>
        </w:rPr>
        <w:t>Investigation</w:t>
      </w:r>
      <w:r w:rsidR="00C86251" w:rsidRPr="00EF5168">
        <w:rPr>
          <w:rFonts w:cs="Helvetica"/>
          <w:color w:val="222222"/>
          <w:sz w:val="18"/>
          <w:szCs w:val="18"/>
        </w:rPr>
        <w:t>, Data Curation</w:t>
      </w:r>
      <w:r w:rsidR="000B3918" w:rsidRPr="00EF5168">
        <w:rPr>
          <w:rFonts w:cs="Helvetica"/>
          <w:color w:val="222222"/>
          <w:sz w:val="18"/>
          <w:szCs w:val="18"/>
        </w:rPr>
        <w:t>, Writing – Original Draft Preparation</w:t>
      </w:r>
      <w:r w:rsidR="00C86251" w:rsidRPr="00EF5168">
        <w:rPr>
          <w:rFonts w:cs="Helvetica"/>
          <w:color w:val="222222"/>
          <w:sz w:val="18"/>
          <w:szCs w:val="18"/>
        </w:rPr>
        <w:t xml:space="preserve"> C.A.; </w:t>
      </w:r>
      <w:r w:rsidR="00B57500" w:rsidRPr="00EF5168">
        <w:rPr>
          <w:rFonts w:cs="Helvetica"/>
          <w:color w:val="222222"/>
          <w:sz w:val="18"/>
          <w:szCs w:val="18"/>
        </w:rPr>
        <w:t>Data Curation, Writing</w:t>
      </w:r>
      <w:r w:rsidR="00C86251" w:rsidRPr="00EF5168">
        <w:rPr>
          <w:rFonts w:cs="Helvetica"/>
          <w:color w:val="222222"/>
          <w:sz w:val="18"/>
          <w:szCs w:val="18"/>
        </w:rPr>
        <w:t xml:space="preserve"> – Review &amp; Editing R.C., </w:t>
      </w:r>
      <w:r w:rsidR="00B57500" w:rsidRPr="00EF5168">
        <w:rPr>
          <w:rFonts w:cs="Helvetica"/>
          <w:color w:val="222222"/>
          <w:sz w:val="18"/>
          <w:szCs w:val="18"/>
        </w:rPr>
        <w:t>Visualisation</w:t>
      </w:r>
      <w:r w:rsidR="00C86251" w:rsidRPr="00EF5168">
        <w:rPr>
          <w:rFonts w:cs="Helvetica"/>
          <w:color w:val="222222"/>
          <w:sz w:val="18"/>
          <w:szCs w:val="18"/>
        </w:rPr>
        <w:t xml:space="preserve"> A.C.; </w:t>
      </w:r>
      <w:r w:rsidR="00B57500" w:rsidRPr="00EF5168">
        <w:rPr>
          <w:rFonts w:cs="Helvetica"/>
          <w:color w:val="222222"/>
          <w:sz w:val="18"/>
          <w:szCs w:val="18"/>
        </w:rPr>
        <w:t>Conceptualization</w:t>
      </w:r>
      <w:r w:rsidR="00C86251" w:rsidRPr="00EF5168">
        <w:rPr>
          <w:rFonts w:cs="Helvetica"/>
          <w:color w:val="222222"/>
          <w:sz w:val="18"/>
          <w:szCs w:val="18"/>
        </w:rPr>
        <w:t>, Resources</w:t>
      </w:r>
      <w:r w:rsidR="000B3918" w:rsidRPr="00EF5168">
        <w:rPr>
          <w:rFonts w:cs="Helvetica"/>
          <w:color w:val="222222"/>
          <w:sz w:val="18"/>
          <w:szCs w:val="18"/>
        </w:rPr>
        <w:t>,</w:t>
      </w:r>
      <w:r w:rsidR="00C86251" w:rsidRPr="00EF5168">
        <w:rPr>
          <w:rFonts w:cs="Helvetica"/>
          <w:color w:val="222222"/>
          <w:sz w:val="18"/>
          <w:szCs w:val="18"/>
        </w:rPr>
        <w:t xml:space="preserve"> </w:t>
      </w:r>
      <w:r w:rsidR="00B57500" w:rsidRPr="00EF5168">
        <w:rPr>
          <w:rFonts w:cs="Helvetica"/>
          <w:color w:val="222222"/>
          <w:sz w:val="18"/>
          <w:szCs w:val="18"/>
        </w:rPr>
        <w:t>Visualisation</w:t>
      </w:r>
      <w:r w:rsidR="00C86251" w:rsidRPr="00EF5168">
        <w:rPr>
          <w:rFonts w:cs="Helvetica"/>
          <w:color w:val="222222"/>
          <w:sz w:val="18"/>
          <w:szCs w:val="18"/>
        </w:rPr>
        <w:t xml:space="preserve"> D.M.; </w:t>
      </w:r>
      <w:r w:rsidR="00B57500" w:rsidRPr="00EF5168">
        <w:rPr>
          <w:rFonts w:cs="Helvetica"/>
          <w:color w:val="222222"/>
          <w:sz w:val="18"/>
          <w:szCs w:val="18"/>
        </w:rPr>
        <w:t>Visualization</w:t>
      </w:r>
      <w:r w:rsidR="000B3918" w:rsidRPr="00EF5168">
        <w:rPr>
          <w:rFonts w:cs="Helvetica"/>
          <w:color w:val="222222"/>
          <w:sz w:val="18"/>
          <w:szCs w:val="18"/>
        </w:rPr>
        <w:t xml:space="preserve">, Resources </w:t>
      </w:r>
      <w:r w:rsidR="00C86251" w:rsidRPr="00EF5168">
        <w:rPr>
          <w:rFonts w:cs="Helvetica"/>
          <w:color w:val="222222"/>
          <w:sz w:val="18"/>
          <w:szCs w:val="18"/>
        </w:rPr>
        <w:t xml:space="preserve"> L.C.</w:t>
      </w:r>
      <w:r w:rsidR="000B3918" w:rsidRPr="00EF5168">
        <w:rPr>
          <w:rFonts w:cs="Helvetica"/>
          <w:color w:val="222222"/>
          <w:sz w:val="18"/>
          <w:szCs w:val="18"/>
        </w:rPr>
        <w:t xml:space="preserve">; </w:t>
      </w:r>
      <w:r w:rsidR="00B57500" w:rsidRPr="00EF5168">
        <w:rPr>
          <w:rFonts w:cs="Helvetica"/>
          <w:color w:val="222222"/>
          <w:sz w:val="18"/>
          <w:szCs w:val="18"/>
        </w:rPr>
        <w:t>Visualization</w:t>
      </w:r>
      <w:r w:rsidR="000B3918" w:rsidRPr="00EF5168">
        <w:rPr>
          <w:rFonts w:cs="Helvetica"/>
          <w:color w:val="222222"/>
          <w:sz w:val="18"/>
          <w:szCs w:val="18"/>
        </w:rPr>
        <w:t xml:space="preserve">, Resources G. LR; Conceptualization, Methodology, </w:t>
      </w:r>
      <w:r w:rsidR="00B57500" w:rsidRPr="00EF5168">
        <w:rPr>
          <w:rFonts w:cs="Helvetica"/>
          <w:color w:val="222222"/>
          <w:sz w:val="18"/>
          <w:szCs w:val="18"/>
        </w:rPr>
        <w:t>Validation</w:t>
      </w:r>
      <w:r w:rsidR="000B3918" w:rsidRPr="00EF5168">
        <w:rPr>
          <w:rFonts w:cs="Helvetica"/>
          <w:color w:val="222222"/>
          <w:sz w:val="18"/>
          <w:szCs w:val="18"/>
        </w:rPr>
        <w:t>, Formal Analysis, Resources, Data Curation, Writing – Review &amp; Editing, Supervision, Project Administration E.S.; Conceptualization, Methodology, Valisation, Formal Analysis, Resources, Data Curation, Writing – Review &amp; Editing, Supervision, Project Administration L.M.</w:t>
      </w:r>
      <w:r w:rsidR="000B3918" w:rsidRPr="00EF5168">
        <w:rPr>
          <w:rFonts w:ascii="Helvetica" w:hAnsi="Helvetica" w:cs="Helvetica"/>
          <w:color w:val="222222"/>
          <w:sz w:val="18"/>
          <w:szCs w:val="18"/>
        </w:rPr>
        <w:t xml:space="preserve"> </w:t>
      </w:r>
      <w:r w:rsidRPr="00EF5168">
        <w:rPr>
          <w:rFonts w:ascii="Helvetica" w:hAnsi="Helvetica" w:cs="Helvetica"/>
          <w:color w:val="222222"/>
          <w:sz w:val="18"/>
          <w:szCs w:val="18"/>
        </w:rPr>
        <w:br/>
      </w:r>
    </w:p>
    <w:p w14:paraId="6C10B389" w14:textId="77777777" w:rsidR="002147AE" w:rsidRPr="00EF5168" w:rsidRDefault="00B90062" w:rsidP="00EF5168">
      <w:pPr>
        <w:pStyle w:val="MDPI21heading1"/>
        <w:ind w:left="0"/>
      </w:pPr>
      <w:r w:rsidRPr="00EF5168">
        <w:t>R</w:t>
      </w:r>
      <w:r w:rsidR="00936915" w:rsidRPr="00EF5168">
        <w:t>eferences</w:t>
      </w:r>
      <w:r w:rsidR="00BC376A" w:rsidRPr="00EF5168">
        <w:t xml:space="preserve"> </w:t>
      </w:r>
    </w:p>
    <w:p w14:paraId="344D6CFA" w14:textId="77777777" w:rsidR="00BB37EB" w:rsidRPr="00EF5168" w:rsidRDefault="002147AE" w:rsidP="00EF5168">
      <w:pPr>
        <w:pStyle w:val="Bibliografia"/>
        <w:spacing w:line="228" w:lineRule="auto"/>
        <w:ind w:left="425" w:hanging="425"/>
        <w:rPr>
          <w:sz w:val="18"/>
        </w:rPr>
      </w:pPr>
      <w:r w:rsidRPr="00EF5168">
        <w:rPr>
          <w:sz w:val="18"/>
        </w:rPr>
        <w:fldChar w:fldCharType="begin"/>
      </w:r>
      <w:r w:rsidR="00BB37EB" w:rsidRPr="00EF5168">
        <w:rPr>
          <w:sz w:val="18"/>
        </w:rPr>
        <w:instrText xml:space="preserve"> ADDIN ZOTERO_BIBL {"uncited":[],"omitted":[],"custom":[]} CSL_BIBLIOGRAPHY </w:instrText>
      </w:r>
      <w:r w:rsidRPr="00EF5168">
        <w:rPr>
          <w:sz w:val="18"/>
        </w:rPr>
        <w:fldChar w:fldCharType="separate"/>
      </w:r>
      <w:r w:rsidR="00BB37EB" w:rsidRPr="00EF5168">
        <w:rPr>
          <w:sz w:val="18"/>
        </w:rPr>
        <w:t>[1]</w:t>
      </w:r>
      <w:r w:rsidR="00BB37EB" w:rsidRPr="00EF5168">
        <w:rPr>
          <w:sz w:val="18"/>
        </w:rPr>
        <w:tab/>
        <w:t>P. Van Damme, R.M. Pintó, Z. Feng, F. Cui, A. Gentile, D. Shouval, Hepatitis A virus infection, Nat Rev Dis Primers 9 (2023) 51. https://doi.org/10.1038/s41572-023-00461-2.</w:t>
      </w:r>
    </w:p>
    <w:p w14:paraId="195A8000" w14:textId="77777777" w:rsidR="00BB37EB" w:rsidRPr="00EF5168" w:rsidRDefault="00BB37EB" w:rsidP="00EF5168">
      <w:pPr>
        <w:pStyle w:val="Bibliografia"/>
        <w:spacing w:line="228" w:lineRule="auto"/>
        <w:ind w:left="425" w:hanging="425"/>
        <w:rPr>
          <w:sz w:val="18"/>
        </w:rPr>
      </w:pPr>
      <w:r w:rsidRPr="00EF5168">
        <w:rPr>
          <w:sz w:val="18"/>
        </w:rPr>
        <w:t>[2]</w:t>
      </w:r>
      <w:r w:rsidRPr="00EF5168">
        <w:rPr>
          <w:sz w:val="18"/>
        </w:rPr>
        <w:tab/>
        <w:t>X. Wang, J. Ren, Q. Gao, Z. Hu, Y. Sun, X. Li, D.J. Rowlands, W. Yin, J. Wang, D.I. Stuart, Z. Rao, E.E. Fry, Hepatitis A virus and the origins of picornaviruses, Nature 517 (2015) 85–88. https://doi.org/10.1038/nature13806.</w:t>
      </w:r>
    </w:p>
    <w:p w14:paraId="3FED36EC" w14:textId="77777777" w:rsidR="00BB37EB" w:rsidRPr="00EF5168" w:rsidRDefault="00BB37EB" w:rsidP="00EF5168">
      <w:pPr>
        <w:pStyle w:val="Bibliografia"/>
        <w:spacing w:line="228" w:lineRule="auto"/>
        <w:ind w:left="425" w:hanging="425"/>
        <w:rPr>
          <w:sz w:val="18"/>
        </w:rPr>
      </w:pPr>
      <w:r w:rsidRPr="00EF5168">
        <w:rPr>
          <w:sz w:val="18"/>
        </w:rPr>
        <w:t>[3]</w:t>
      </w:r>
      <w:r w:rsidRPr="00EF5168">
        <w:rPr>
          <w:sz w:val="18"/>
        </w:rPr>
        <w:tab/>
        <w:t>A. Fallucca, V. Restivo, M.C. Sgariglia, M. Roveta, C. Trucchi, Hepatitis a Vaccine as Opportunity of Primary Prevention for Food Handlers: A Narrative Review, Vaccines 11 (2023) 1271. https://doi.org/10.3390/vaccines11071271.</w:t>
      </w:r>
    </w:p>
    <w:p w14:paraId="0A60DB0C" w14:textId="77777777" w:rsidR="00BB37EB" w:rsidRPr="00EF5168" w:rsidRDefault="00BB37EB" w:rsidP="00EF5168">
      <w:pPr>
        <w:pStyle w:val="Bibliografia"/>
        <w:spacing w:line="228" w:lineRule="auto"/>
        <w:ind w:left="425" w:hanging="425"/>
        <w:rPr>
          <w:sz w:val="18"/>
        </w:rPr>
      </w:pPr>
      <w:r w:rsidRPr="00EF5168">
        <w:rPr>
          <w:sz w:val="18"/>
        </w:rPr>
        <w:t>[4]</w:t>
      </w:r>
      <w:r w:rsidRPr="00EF5168">
        <w:rPr>
          <w:sz w:val="18"/>
        </w:rPr>
        <w:tab/>
        <w:t>M.T.M. Shata, H.F. Hetta, Y. Sharma, K.E. Sherman, Viral hepatitis in pregnancy, Journal of Viral Hepatitis 29 (2022) 844–861. https://doi.org/10.1111/jvh.13725.</w:t>
      </w:r>
    </w:p>
    <w:p w14:paraId="40C010A2" w14:textId="77777777" w:rsidR="00BB37EB" w:rsidRPr="00EF5168" w:rsidRDefault="00BB37EB" w:rsidP="00EF5168">
      <w:pPr>
        <w:pStyle w:val="Bibliografia"/>
        <w:spacing w:line="228" w:lineRule="auto"/>
        <w:ind w:left="425" w:hanging="425"/>
        <w:rPr>
          <w:sz w:val="18"/>
        </w:rPr>
      </w:pPr>
      <w:r w:rsidRPr="00EF5168">
        <w:rPr>
          <w:sz w:val="18"/>
        </w:rPr>
        <w:lastRenderedPageBreak/>
        <w:t>[5]</w:t>
      </w:r>
      <w:r w:rsidRPr="00EF5168">
        <w:rPr>
          <w:sz w:val="18"/>
        </w:rPr>
        <w:tab/>
        <w:t>G.R. Takuissu, S. Kenmoe, J.T. Ebogo-Belobo, C. Kengne-Ndé, D.S. Mbaga, A. Bowo-Ngandji, J.L. Ndzie Ondigui, R. Kenfack-Momo, S. Tchatchouang, J. Kenfack-Zanguim, R. Lontuo Fogang, E. Zeuko’o Menkem, G.I. Kame-Ngasse, J.N. Magoudjou-Pekam, C. Veneri, P. Mancini, G. Bonanno Ferraro, M. Iaconelli, L. Orlandi, C. Del Giudice, E. Suffredini, G. La Rosa, Occurrence of Hepatitis A Virus in Water Matrices: A Systematic Review and Meta-Analysis, IJERPH 20 (2023) 1054. https://doi.org/10.3390/ijerph20021054.</w:t>
      </w:r>
    </w:p>
    <w:p w14:paraId="234AF650" w14:textId="77777777" w:rsidR="00BB37EB" w:rsidRPr="00EF5168" w:rsidRDefault="00BB37EB" w:rsidP="00EF5168">
      <w:pPr>
        <w:pStyle w:val="Bibliografia"/>
        <w:spacing w:line="228" w:lineRule="auto"/>
        <w:ind w:left="425" w:hanging="425"/>
        <w:rPr>
          <w:sz w:val="18"/>
        </w:rPr>
      </w:pPr>
      <w:r w:rsidRPr="00EF5168">
        <w:rPr>
          <w:sz w:val="18"/>
        </w:rPr>
        <w:t>[6]</w:t>
      </w:r>
      <w:r w:rsidRPr="00EF5168">
        <w:rPr>
          <w:sz w:val="18"/>
        </w:rPr>
        <w:tab/>
        <w:t>A. Tiwari, W. Ahmed, S. Oikarinen, S.P. Sherchan, A. Heikinheimo, G. Jiang, S.L. Simpson, J. Greaves, A. Bivins, Application of digital PCR for public health-related water quality monitoring, Science of The Total Environment 837 (2022) 155663. https://doi.org/10.1016/j.scitotenv.2022.155663.</w:t>
      </w:r>
    </w:p>
    <w:p w14:paraId="0DD81E47" w14:textId="77777777" w:rsidR="00BB37EB" w:rsidRPr="00EF5168" w:rsidRDefault="00BB37EB" w:rsidP="00EF5168">
      <w:pPr>
        <w:pStyle w:val="Bibliografia"/>
        <w:spacing w:line="228" w:lineRule="auto"/>
        <w:ind w:left="425" w:hanging="425"/>
        <w:rPr>
          <w:sz w:val="18"/>
        </w:rPr>
      </w:pPr>
      <w:r w:rsidRPr="00EF5168">
        <w:rPr>
          <w:sz w:val="18"/>
        </w:rPr>
        <w:t>[7]</w:t>
      </w:r>
      <w:r w:rsidRPr="00EF5168">
        <w:rPr>
          <w:sz w:val="18"/>
        </w:rPr>
        <w:tab/>
        <w:t>L. Pérez-Lavalle, E. Carrasco, A. Valero Diaz, Microbiological criteria: Principles for their establishment and application in food quality and safety, Ital J Food Safety 9 (2020). https://doi.org/10.4081/ijfs.2020.8543.</w:t>
      </w:r>
    </w:p>
    <w:p w14:paraId="370E3AA6" w14:textId="77777777" w:rsidR="00BB37EB" w:rsidRPr="00EF5168" w:rsidRDefault="00BB37EB" w:rsidP="00EF5168">
      <w:pPr>
        <w:pStyle w:val="Bibliografia"/>
        <w:spacing w:line="228" w:lineRule="auto"/>
        <w:ind w:left="425" w:hanging="425"/>
        <w:rPr>
          <w:sz w:val="18"/>
        </w:rPr>
      </w:pPr>
      <w:r w:rsidRPr="00EF5168">
        <w:rPr>
          <w:sz w:val="18"/>
        </w:rPr>
        <w:t>[8]</w:t>
      </w:r>
      <w:r w:rsidRPr="00EF5168">
        <w:rPr>
          <w:sz w:val="18"/>
        </w:rPr>
        <w:tab/>
        <w:t>S.G. Goh, N. Saeidi, X. Gu, G.G.R. Vergara, L. Liang, H. Fang, M. Kitajima, A. Kushmaro, K.Y.-H. Gin, Occurrence of microbial indicators, pathogenic bacteria and viruses in tropical surface waters subject to contrasting land use, Water Research 150 (2019) 200–215. https://doi.org/10.1016/j.watres.2018.11.058.</w:t>
      </w:r>
    </w:p>
    <w:p w14:paraId="37ECB644" w14:textId="77777777" w:rsidR="00BB37EB" w:rsidRPr="00EF5168" w:rsidRDefault="00BB37EB" w:rsidP="00EF5168">
      <w:pPr>
        <w:pStyle w:val="Bibliografia"/>
        <w:spacing w:line="228" w:lineRule="auto"/>
        <w:ind w:left="425" w:hanging="425"/>
        <w:rPr>
          <w:sz w:val="18"/>
        </w:rPr>
      </w:pPr>
      <w:r w:rsidRPr="00EF5168">
        <w:rPr>
          <w:sz w:val="18"/>
        </w:rPr>
        <w:t>[9]</w:t>
      </w:r>
      <w:r w:rsidRPr="00EF5168">
        <w:rPr>
          <w:sz w:val="18"/>
        </w:rPr>
        <w:tab/>
        <w:t>E.C. Hounkpe, P. Sessou, S. Farougou, I. Dotche, G. Daube, V. Delcenserie, P. Azokpota, N. Korsak, Hygiene practices of food of animal origin operators in primary schools in the Mono Department of Benin. A cross-sectional study, Heliyon 9 (2023) e17135. https://doi.org/10.1016/j.heliyon.2023.e17135.</w:t>
      </w:r>
    </w:p>
    <w:p w14:paraId="0F191EE1" w14:textId="77777777" w:rsidR="00BB37EB" w:rsidRPr="00EF5168" w:rsidRDefault="00BB37EB" w:rsidP="00EF5168">
      <w:pPr>
        <w:pStyle w:val="Bibliografia"/>
        <w:spacing w:line="228" w:lineRule="auto"/>
        <w:ind w:left="425" w:hanging="425"/>
        <w:rPr>
          <w:sz w:val="18"/>
        </w:rPr>
      </w:pPr>
      <w:r w:rsidRPr="00EF5168">
        <w:rPr>
          <w:sz w:val="18"/>
        </w:rPr>
        <w:t>[10]</w:t>
      </w:r>
      <w:r w:rsidRPr="00EF5168">
        <w:rPr>
          <w:sz w:val="18"/>
        </w:rPr>
        <w:tab/>
        <w:t>C.P. Gerba, Environmentally Transmitted Pathogens, in: Environmental Microbiology, Elsevier, 2015: pp. 509–550. https://doi.org/10.1016/B978-0-12-394626-3.00022-3.</w:t>
      </w:r>
    </w:p>
    <w:p w14:paraId="51C25EDA" w14:textId="77777777" w:rsidR="00BB37EB" w:rsidRPr="00EF5168" w:rsidRDefault="00BB37EB" w:rsidP="00EF5168">
      <w:pPr>
        <w:pStyle w:val="Bibliografia"/>
        <w:spacing w:line="228" w:lineRule="auto"/>
        <w:ind w:left="425" w:hanging="425"/>
        <w:rPr>
          <w:sz w:val="18"/>
        </w:rPr>
      </w:pPr>
      <w:r w:rsidRPr="00EF5168">
        <w:rPr>
          <w:sz w:val="18"/>
        </w:rPr>
        <w:t>[11]</w:t>
      </w:r>
      <w:r w:rsidRPr="00EF5168">
        <w:rPr>
          <w:sz w:val="18"/>
        </w:rPr>
        <w:tab/>
        <w:t>O. Gholizadeh, S. Akbarzadeh, M. Ghazanfari Hashemi, M. Gholami, P. Amini, Z. Yekanipour, R. Tabatabaie, S. Yasamineh, P. Hosseini, V. Poortahmasebi, Hepatitis A: Viral Structure, Classification, Life Cycle, Clinical Symptoms, Diagnosis Error, and Vaccination, Canadian Journal of Infectious Diseases and Medical Microbiology 2023 (2023) 1–17. https://doi.org/10.1155/2023/4263309.</w:t>
      </w:r>
    </w:p>
    <w:p w14:paraId="28BDA51E" w14:textId="77777777" w:rsidR="00BB37EB" w:rsidRPr="00EF5168" w:rsidRDefault="00BB37EB" w:rsidP="00EF5168">
      <w:pPr>
        <w:pStyle w:val="Bibliografia"/>
        <w:spacing w:line="228" w:lineRule="auto"/>
        <w:ind w:left="425" w:hanging="425"/>
        <w:rPr>
          <w:sz w:val="18"/>
        </w:rPr>
      </w:pPr>
      <w:r w:rsidRPr="00EF5168">
        <w:rPr>
          <w:sz w:val="18"/>
        </w:rPr>
        <w:t>[12]</w:t>
      </w:r>
      <w:r w:rsidRPr="00EF5168">
        <w:rPr>
          <w:sz w:val="18"/>
        </w:rPr>
        <w:tab/>
        <w:t>G.R. Takuissu, S. Kenmoe, J.T. Ebogo-Belobo, C. Kengne-Ndé, D.S. Mbaga, A. Bowo-Ngandji, J.L. Ndzie Ondigui, R. Kenfack-Momo, S. Tchatchouang, J. Kenfack-Zanguim, R. Lontuo Fogang, E. Zeuko’o Menkem, G.I. Kame-Ngasse, J.N. Magoudjou-Pekam, C. Veneri, P. Mancini, G. Bonanno Ferraro, M. Iaconelli, L. Orlandi, C. Del Giudice, E. Suffredini, G. La Rosa, Occurrence of Hepatitis A Virus in Water Matrices: A Systematic Review and Meta-Analysis, IJERPH 20 (2023) 1054. https://doi.org/10.3390/ijerph20021054.</w:t>
      </w:r>
    </w:p>
    <w:p w14:paraId="0E743429" w14:textId="77777777" w:rsidR="00BB37EB" w:rsidRPr="00EF5168" w:rsidRDefault="00BB37EB" w:rsidP="00EF5168">
      <w:pPr>
        <w:pStyle w:val="Bibliografia"/>
        <w:spacing w:line="228" w:lineRule="auto"/>
        <w:ind w:left="425" w:hanging="425"/>
        <w:rPr>
          <w:sz w:val="18"/>
        </w:rPr>
      </w:pPr>
      <w:r w:rsidRPr="00EF5168">
        <w:rPr>
          <w:sz w:val="18"/>
        </w:rPr>
        <w:t>[13]</w:t>
      </w:r>
      <w:r w:rsidRPr="00EF5168">
        <w:rPr>
          <w:sz w:val="18"/>
        </w:rPr>
        <w:tab/>
        <w:t>E. Cuevas-Ferrando, A. Martínez-Murcia, A. Pérez-Cataluña, G. Sánchez, W. Randazzo, Assessment of ISO Method 15216 to Quantify Hepatitis E Virus in Bottled Water, Microorganisms 8 (2020) 730. https://doi.org/10.3390/microorganisms8050730.</w:t>
      </w:r>
    </w:p>
    <w:p w14:paraId="1B01CE95" w14:textId="77777777" w:rsidR="00BB37EB" w:rsidRPr="00EF5168" w:rsidRDefault="00BB37EB" w:rsidP="00EF5168">
      <w:pPr>
        <w:pStyle w:val="Bibliografia"/>
        <w:spacing w:line="228" w:lineRule="auto"/>
        <w:ind w:left="425" w:hanging="425"/>
        <w:rPr>
          <w:sz w:val="18"/>
        </w:rPr>
      </w:pPr>
      <w:r w:rsidRPr="00EF5168">
        <w:rPr>
          <w:sz w:val="18"/>
        </w:rPr>
        <w:t>[14]</w:t>
      </w:r>
      <w:r w:rsidRPr="00EF5168">
        <w:rPr>
          <w:sz w:val="18"/>
        </w:rPr>
        <w:tab/>
        <w:t>D. Wang, J. Cao, Z. Tian, B. Fang, X. Qi, Z. Lei, L. Liu, J. Zhu, L. Ma, Development of a new concentration method for Hepatitis A virus detection (ISO 15216–2:2019) in Manila clams (Ruditapes philippinarum), LWT 172 (2022) 114172. https://doi.org/10.1016/j.lwt.2022.114172.</w:t>
      </w:r>
    </w:p>
    <w:p w14:paraId="2F5EDAC2" w14:textId="77777777" w:rsidR="00BB37EB" w:rsidRPr="00EF5168" w:rsidRDefault="00BB37EB" w:rsidP="00EF5168">
      <w:pPr>
        <w:pStyle w:val="Bibliografia"/>
        <w:spacing w:line="228" w:lineRule="auto"/>
        <w:ind w:left="425" w:hanging="425"/>
        <w:rPr>
          <w:sz w:val="18"/>
        </w:rPr>
      </w:pPr>
      <w:r w:rsidRPr="00EF5168">
        <w:rPr>
          <w:sz w:val="18"/>
        </w:rPr>
        <w:t>[15]</w:t>
      </w:r>
      <w:r w:rsidRPr="00EF5168">
        <w:rPr>
          <w:sz w:val="18"/>
        </w:rPr>
        <w:tab/>
        <w:t>L. Fabiani, E. Pucci, E. Delibato, G. Volpe, S. Piermarini, D. De Medici, F. Capuano, G. Palleschi, ELIME assay vs Real-Time PCR and conventional culture method for an effective detection of Salmonella in fresh leafy green vegetables, Talanta 166 (2017) 321–327. https://doi.org/10.1016/j.talanta.2017.01.071.</w:t>
      </w:r>
    </w:p>
    <w:p w14:paraId="64FB19E5" w14:textId="77777777" w:rsidR="00BB37EB" w:rsidRPr="00EF5168" w:rsidRDefault="00BB37EB" w:rsidP="00EF5168">
      <w:pPr>
        <w:pStyle w:val="Bibliografia"/>
        <w:spacing w:line="228" w:lineRule="auto"/>
        <w:ind w:left="425" w:hanging="425"/>
        <w:rPr>
          <w:sz w:val="18"/>
        </w:rPr>
      </w:pPr>
      <w:r w:rsidRPr="00EF5168">
        <w:rPr>
          <w:sz w:val="18"/>
        </w:rPr>
        <w:t>[16]</w:t>
      </w:r>
      <w:r w:rsidRPr="00EF5168">
        <w:rPr>
          <w:sz w:val="18"/>
        </w:rPr>
        <w:tab/>
        <w:t>A. Tiwari, D.M. Oliver, A. Bivins, S.P. Sherchan, T. Pitkänen, Bathing Water Quality Monitoring Practices in Europe and the United States, IJERPH 18 (2021) 5513. https://doi.org/10.3390/ijerph18115513.</w:t>
      </w:r>
    </w:p>
    <w:p w14:paraId="101D42BB" w14:textId="77777777" w:rsidR="00BB37EB" w:rsidRPr="00EF5168" w:rsidRDefault="00BB37EB" w:rsidP="00EF5168">
      <w:pPr>
        <w:pStyle w:val="Bibliografia"/>
        <w:spacing w:line="228" w:lineRule="auto"/>
        <w:ind w:left="425" w:hanging="425"/>
        <w:rPr>
          <w:sz w:val="18"/>
        </w:rPr>
      </w:pPr>
      <w:r w:rsidRPr="00EF5168">
        <w:rPr>
          <w:sz w:val="18"/>
        </w:rPr>
        <w:t>[17]</w:t>
      </w:r>
      <w:r w:rsidRPr="00EF5168">
        <w:rPr>
          <w:sz w:val="18"/>
        </w:rPr>
        <w:tab/>
        <w:t>F. Watzinger, K. Ebner, T. Lion, Detection and monitoring of virus infections by real-time PCR, Molecular Aspects of Medicine 27 (2006) 254–298. https://doi.org/10.1016/j.mam.2005.12.001.</w:t>
      </w:r>
    </w:p>
    <w:p w14:paraId="4D95BFEC" w14:textId="77777777" w:rsidR="00BB37EB" w:rsidRPr="00EF5168" w:rsidRDefault="00BB37EB" w:rsidP="00EF5168">
      <w:pPr>
        <w:pStyle w:val="Bibliografia"/>
        <w:spacing w:line="228" w:lineRule="auto"/>
        <w:ind w:left="425" w:hanging="425"/>
        <w:rPr>
          <w:sz w:val="18"/>
        </w:rPr>
      </w:pPr>
      <w:r w:rsidRPr="00EF5168">
        <w:rPr>
          <w:sz w:val="18"/>
        </w:rPr>
        <w:t>[18]</w:t>
      </w:r>
      <w:r w:rsidRPr="00EF5168">
        <w:rPr>
          <w:sz w:val="18"/>
        </w:rPr>
        <w:tab/>
        <w:t xml:space="preserve">J. Li, W. Lin, P. Du, W. Liu, X. Liu, C. Yang, R. Jia, Y. Wang, Y. Chen, L. Jia, L. Han, W. Tan, N. Liu, J. Du, Y. Ke, C. Wang, Comparison of reverse-transcription qPCR and droplet digital PCR for the detection of SARS-CoV-2 in clinical specimens of </w:t>
      </w:r>
      <w:r w:rsidRPr="00EF5168">
        <w:rPr>
          <w:sz w:val="18"/>
        </w:rPr>
        <w:lastRenderedPageBreak/>
        <w:t>hospitalized patients, Diagnostic Microbiology and Infectious Disease 103 (2022) 115677. https://doi.org/10.1016/j.diagmicrobio.2022.115677.</w:t>
      </w:r>
    </w:p>
    <w:p w14:paraId="04F09F39" w14:textId="77777777" w:rsidR="00BB37EB" w:rsidRPr="00EF5168" w:rsidRDefault="00BB37EB" w:rsidP="00EF5168">
      <w:pPr>
        <w:pStyle w:val="Bibliografia"/>
        <w:spacing w:line="228" w:lineRule="auto"/>
        <w:ind w:left="425" w:hanging="425"/>
        <w:rPr>
          <w:sz w:val="18"/>
        </w:rPr>
      </w:pPr>
      <w:r w:rsidRPr="00EF5168">
        <w:rPr>
          <w:sz w:val="18"/>
        </w:rPr>
        <w:t>[19]</w:t>
      </w:r>
      <w:r w:rsidRPr="00EF5168">
        <w:rPr>
          <w:sz w:val="18"/>
        </w:rPr>
        <w:tab/>
        <w:t>W. Randazzo, A. Vasquez-García, R. Aznar, G. Sánchez, Viability RT-qPCR to Distinguish Between HEV and HAV With Intact and Altered Capsids, Front. Microbiol. 9 (2018) 1973. https://doi.org/10.3389/fmicb.2018.01973.</w:t>
      </w:r>
    </w:p>
    <w:p w14:paraId="1E19030F" w14:textId="77777777" w:rsidR="00BB37EB" w:rsidRPr="00EF5168" w:rsidRDefault="00BB37EB" w:rsidP="00EF5168">
      <w:pPr>
        <w:pStyle w:val="Bibliografia"/>
        <w:spacing w:line="228" w:lineRule="auto"/>
        <w:ind w:left="425" w:hanging="425"/>
        <w:rPr>
          <w:sz w:val="18"/>
        </w:rPr>
      </w:pPr>
      <w:r w:rsidRPr="00EF5168">
        <w:rPr>
          <w:sz w:val="18"/>
        </w:rPr>
        <w:t>[20]</w:t>
      </w:r>
      <w:r w:rsidRPr="00EF5168">
        <w:rPr>
          <w:sz w:val="18"/>
        </w:rPr>
        <w:tab/>
        <w:t>S. Sakamoto, W. Putalun, S. Vimolmangkang, W. Phoolcharoen, Y. Shoyama, H. Tanaka, S. Morimoto, Enzyme-linked immunosorbent assay for the quantitative/qualitative analysis of plant secondary metabolites, J Nat Med 72 (2018) 32–42. https://doi.org/10.1007/s11418-017-1144-z.</w:t>
      </w:r>
    </w:p>
    <w:p w14:paraId="40971683" w14:textId="77777777" w:rsidR="00BB37EB" w:rsidRPr="00EF5168" w:rsidRDefault="00BB37EB" w:rsidP="00EF5168">
      <w:pPr>
        <w:pStyle w:val="Bibliografia"/>
        <w:spacing w:line="228" w:lineRule="auto"/>
        <w:ind w:left="425" w:hanging="425"/>
        <w:rPr>
          <w:sz w:val="18"/>
        </w:rPr>
      </w:pPr>
      <w:r w:rsidRPr="00EF5168">
        <w:rPr>
          <w:sz w:val="18"/>
        </w:rPr>
        <w:t>[21]</w:t>
      </w:r>
      <w:r w:rsidRPr="00EF5168">
        <w:rPr>
          <w:sz w:val="18"/>
        </w:rPr>
        <w:tab/>
        <w:t>P.V. Hornbeck, Enzyme‐Linked Immunosorbent Assays, CP in Immunology 110 (2015). https://doi.org/10.1002/0471142735.im0201s110.</w:t>
      </w:r>
    </w:p>
    <w:p w14:paraId="7F47850A" w14:textId="77777777" w:rsidR="00BB37EB" w:rsidRPr="00EF5168" w:rsidRDefault="00BB37EB" w:rsidP="00EF5168">
      <w:pPr>
        <w:pStyle w:val="Bibliografia"/>
        <w:spacing w:line="228" w:lineRule="auto"/>
        <w:ind w:left="425" w:hanging="425"/>
        <w:rPr>
          <w:sz w:val="18"/>
        </w:rPr>
      </w:pPr>
      <w:r w:rsidRPr="00EF5168">
        <w:rPr>
          <w:sz w:val="18"/>
        </w:rPr>
        <w:t>[22]</w:t>
      </w:r>
      <w:r w:rsidRPr="00EF5168">
        <w:rPr>
          <w:sz w:val="18"/>
        </w:rPr>
        <w:tab/>
        <w:t>A.J. Van Hengel, E. Anklam, S.L. Taylor, S.L. Hefle, Analysis of food allergens. Practical applications, in: Food Toxicants Analysis, Elsevier, 2007: pp. 189–229. https://doi.org/10.1016/B978-044452843-8/50008-0.</w:t>
      </w:r>
    </w:p>
    <w:p w14:paraId="75C7CE96" w14:textId="77777777" w:rsidR="00BB37EB" w:rsidRPr="00EF5168" w:rsidRDefault="00BB37EB" w:rsidP="00EF5168">
      <w:pPr>
        <w:pStyle w:val="Bibliografia"/>
        <w:spacing w:line="228" w:lineRule="auto"/>
        <w:ind w:left="425" w:hanging="425"/>
        <w:rPr>
          <w:sz w:val="18"/>
        </w:rPr>
      </w:pPr>
      <w:r w:rsidRPr="00EF5168">
        <w:rPr>
          <w:sz w:val="18"/>
        </w:rPr>
        <w:t>[23]</w:t>
      </w:r>
      <w:r w:rsidRPr="00EF5168">
        <w:rPr>
          <w:sz w:val="18"/>
        </w:rPr>
        <w:tab/>
        <w:t>S.W. Mes, D.A.M. Heideman, E. Bloemena, A. Brink, M. Bogaarts, C.R. Leemans, R.H. Brakenhoff, Development and Validation of a Novel and Rapid Molecular Detection Method for High-Risk Human Papillomavirus in Formalin-Fixed, Paraffin-Embedded Tumor Tissue, The Journal of Molecular Diagnostics 22 (2020) 262–271. https://doi.org/10.1016/j.jmoldx.2019.10.009.</w:t>
      </w:r>
    </w:p>
    <w:p w14:paraId="0D4D375F" w14:textId="77777777" w:rsidR="00BB37EB" w:rsidRPr="00EF5168" w:rsidRDefault="00BB37EB" w:rsidP="00EF5168">
      <w:pPr>
        <w:pStyle w:val="Bibliografia"/>
        <w:spacing w:line="228" w:lineRule="auto"/>
        <w:ind w:left="425" w:hanging="425"/>
        <w:rPr>
          <w:sz w:val="18"/>
        </w:rPr>
      </w:pPr>
      <w:r w:rsidRPr="00EF5168">
        <w:rPr>
          <w:sz w:val="18"/>
        </w:rPr>
        <w:t>[24]</w:t>
      </w:r>
      <w:r w:rsidRPr="00EF5168">
        <w:rPr>
          <w:sz w:val="18"/>
        </w:rPr>
        <w:tab/>
        <w:t>K.L. Singampalli, J. Li, P.B. Lillehoj, Rapid magneto-enzyme-linked immunosorbent assay for ultrasensitive protein detection, Analytica Chimica Acta 1225 (2022) 340246. https://doi.org/10.1016/j.aca.2022.340246.</w:t>
      </w:r>
    </w:p>
    <w:p w14:paraId="6651FA1F" w14:textId="77777777" w:rsidR="00BB37EB" w:rsidRPr="00EF5168" w:rsidRDefault="00BB37EB" w:rsidP="00EF5168">
      <w:pPr>
        <w:pStyle w:val="Bibliografia"/>
        <w:spacing w:line="228" w:lineRule="auto"/>
        <w:ind w:left="425" w:hanging="425"/>
        <w:rPr>
          <w:sz w:val="18"/>
        </w:rPr>
      </w:pPr>
      <w:r w:rsidRPr="00EF5168">
        <w:rPr>
          <w:sz w:val="18"/>
        </w:rPr>
        <w:t>[25]</w:t>
      </w:r>
      <w:r w:rsidRPr="00EF5168">
        <w:rPr>
          <w:sz w:val="18"/>
        </w:rPr>
        <w:tab/>
        <w:t>E. Delibato, G. Volpe, D. Romanazzo, D. De Medici, L. Toti, D. Moscone, G. Palleschi, Development and Application of an Electrochemical Plate Coupled with Immunomagnetic Beads (ELIME) Array for Salmonella enterica Detection in Meat Samples, J. Agric. Food Chem. 57 (2009) 7200–7204. https://doi.org/10.1021/jf901181m.</w:t>
      </w:r>
    </w:p>
    <w:p w14:paraId="71F56375" w14:textId="77777777" w:rsidR="00BB37EB" w:rsidRPr="00EF5168" w:rsidRDefault="00BB37EB" w:rsidP="00EF5168">
      <w:pPr>
        <w:pStyle w:val="Bibliografia"/>
        <w:spacing w:line="228" w:lineRule="auto"/>
        <w:ind w:left="425" w:hanging="425"/>
        <w:rPr>
          <w:sz w:val="18"/>
        </w:rPr>
      </w:pPr>
      <w:r w:rsidRPr="00EF5168">
        <w:rPr>
          <w:sz w:val="18"/>
        </w:rPr>
        <w:t>[26]</w:t>
      </w:r>
      <w:r w:rsidRPr="00EF5168">
        <w:rPr>
          <w:sz w:val="18"/>
        </w:rPr>
        <w:tab/>
        <w:t>A. Corradini, M. Cecchini, M. Trevisani, A Rapid Enzyme-Linked Immunomagnetic Electrochemical (ELIME) Assay for the Detection of Escherichia coli O26 in Raw Milk, Food Anal. Methods 13 (2020) 1366–1370. https://doi.org/10.1007/s12161-020-01758-8.</w:t>
      </w:r>
    </w:p>
    <w:p w14:paraId="6DF5646E" w14:textId="77777777" w:rsidR="00BB37EB" w:rsidRPr="00EF5168" w:rsidRDefault="00BB37EB" w:rsidP="00EF5168">
      <w:pPr>
        <w:pStyle w:val="Bibliografia"/>
        <w:spacing w:line="228" w:lineRule="auto"/>
        <w:ind w:left="425" w:hanging="425"/>
        <w:rPr>
          <w:sz w:val="18"/>
        </w:rPr>
      </w:pPr>
      <w:r w:rsidRPr="00EF5168">
        <w:rPr>
          <w:sz w:val="18"/>
        </w:rPr>
        <w:t>[27]</w:t>
      </w:r>
      <w:r w:rsidRPr="00EF5168">
        <w:rPr>
          <w:sz w:val="18"/>
        </w:rPr>
        <w:tab/>
        <w:t>L. Fabiani, E. Delibato, G. Volpe, S. Piermarini, D. De Medici, G. Palleschi, Development of a sandwich ELIME assay exploiting different antibody combinations as sensing strategy for an early detection of Campylobacter, Sensors and Actuators B: Chemical 290 (2019) 318–325. https://doi.org/10.1016/j.snb.2019.03.140.</w:t>
      </w:r>
    </w:p>
    <w:p w14:paraId="7A1AC392" w14:textId="77777777" w:rsidR="00BB37EB" w:rsidRPr="00EF5168" w:rsidRDefault="00BB37EB" w:rsidP="00EF5168">
      <w:pPr>
        <w:pStyle w:val="Bibliografia"/>
        <w:spacing w:line="228" w:lineRule="auto"/>
        <w:ind w:left="425" w:hanging="425"/>
        <w:rPr>
          <w:sz w:val="18"/>
          <w:lang w:val="it-IT"/>
        </w:rPr>
      </w:pPr>
      <w:r w:rsidRPr="00EF5168">
        <w:rPr>
          <w:sz w:val="18"/>
          <w:lang w:val="it-IT"/>
        </w:rPr>
        <w:t>[28]</w:t>
      </w:r>
      <w:r w:rsidRPr="00EF5168">
        <w:rPr>
          <w:sz w:val="18"/>
          <w:lang w:val="it-IT"/>
        </w:rPr>
        <w:tab/>
        <w:t>L. Micheli, A. Fasoli, A. Attar, D.T. Donia, M. Divizia, A. Amine, G. Palleschi, P.A. Salazar Carballo, D. Moscone, An ELIME assay for hepatitis A virus detection, Talanta 234 (2021) 122672. https://doi.org/10.1016/j.talanta.2021.122672.</w:t>
      </w:r>
    </w:p>
    <w:p w14:paraId="6FCDC2BB" w14:textId="77777777" w:rsidR="00BB37EB" w:rsidRPr="00EF5168" w:rsidRDefault="00BB37EB" w:rsidP="00EF5168">
      <w:pPr>
        <w:pStyle w:val="Bibliografia"/>
        <w:spacing w:line="228" w:lineRule="auto"/>
        <w:ind w:left="425" w:hanging="425"/>
        <w:rPr>
          <w:sz w:val="18"/>
        </w:rPr>
      </w:pPr>
      <w:r w:rsidRPr="00EF5168">
        <w:rPr>
          <w:sz w:val="18"/>
        </w:rPr>
        <w:t>[29]</w:t>
      </w:r>
      <w:r w:rsidRPr="00EF5168">
        <w:rPr>
          <w:sz w:val="18"/>
        </w:rPr>
        <w:tab/>
        <w:t>Y. Masago, Y. Konta, S. Kazama, M. Inaba, T. Imagawa, K. Tohma, M. Saito, A. Suzuki, H. Oshitani, T. Omura, Comparative Evaluation of Real-Time PCR Methods for Human Noroviruses in Wastewater and Human Stool, PLoS ONE 11 (2016) e0160825. https://doi.org/10.1371/journal.pone.0160825.</w:t>
      </w:r>
    </w:p>
    <w:p w14:paraId="43B4622A" w14:textId="77777777" w:rsidR="00BB37EB" w:rsidRPr="00EF5168" w:rsidRDefault="00BB37EB" w:rsidP="00EF5168">
      <w:pPr>
        <w:pStyle w:val="Bibliografia"/>
        <w:spacing w:line="228" w:lineRule="auto"/>
        <w:ind w:left="425" w:hanging="425"/>
        <w:rPr>
          <w:sz w:val="18"/>
        </w:rPr>
      </w:pPr>
      <w:r w:rsidRPr="00EF5168">
        <w:rPr>
          <w:sz w:val="18"/>
        </w:rPr>
        <w:t>[30]</w:t>
      </w:r>
      <w:r w:rsidRPr="00EF5168">
        <w:rPr>
          <w:sz w:val="18"/>
        </w:rPr>
        <w:tab/>
        <w:t>R. Cancelliere, A. Di Tinno, A. Cataldo, S. Bellucci, S. Kumbhat, L. Micheli, Nafion-based label-free immunosensor as a reliable warning system: The case of AFB1 detection in cattle feed, Microchemical Journal 191 (2023) 108868. https://doi.org/10.1016/j.microc.2023.108868.</w:t>
      </w:r>
    </w:p>
    <w:p w14:paraId="7A26C430" w14:textId="77777777" w:rsidR="00BB37EB" w:rsidRPr="00EF5168" w:rsidRDefault="00BB37EB" w:rsidP="00EF5168">
      <w:pPr>
        <w:pStyle w:val="Bibliografia"/>
        <w:spacing w:line="228" w:lineRule="auto"/>
        <w:ind w:left="425" w:hanging="425"/>
        <w:rPr>
          <w:sz w:val="18"/>
        </w:rPr>
      </w:pPr>
      <w:r w:rsidRPr="00EF5168">
        <w:rPr>
          <w:sz w:val="18"/>
        </w:rPr>
        <w:t>[31]</w:t>
      </w:r>
      <w:r w:rsidRPr="00EF5168">
        <w:rPr>
          <w:sz w:val="18"/>
        </w:rPr>
        <w:tab/>
        <w:t>L. Celio, M. Ottaviani, R. Cancelliere, A. Di Tinno, P. Panjan, A.M. Sesay, L. Micheli, Microfluidic Flow Injection Immunoassay System for Algal Toxins Determination: A Case of Study, Front. Chem. 9 (2021) 626630. https://doi.org/10.3389/fchem.2021.626630.</w:t>
      </w:r>
    </w:p>
    <w:p w14:paraId="3C416AF6" w14:textId="77777777" w:rsidR="00BB37EB" w:rsidRPr="00EF5168" w:rsidRDefault="00BB37EB" w:rsidP="00EF5168">
      <w:pPr>
        <w:pStyle w:val="Bibliografia"/>
        <w:spacing w:line="228" w:lineRule="auto"/>
        <w:ind w:left="425" w:hanging="425"/>
        <w:rPr>
          <w:sz w:val="18"/>
        </w:rPr>
      </w:pPr>
      <w:r w:rsidRPr="00EF5168">
        <w:rPr>
          <w:sz w:val="18"/>
        </w:rPr>
        <w:t>[32]</w:t>
      </w:r>
      <w:r w:rsidRPr="00EF5168">
        <w:rPr>
          <w:sz w:val="18"/>
        </w:rPr>
        <w:tab/>
        <w:t>M.G. Hofmeister, M.A. Foster, E.H. Teshale, Epidemiology and Transmission of Hepatitis A Virus and Hepatitis E Virus Infections in the United States, Cold Spring Harb Perspect Med 9 (2019) a033431. https://doi.org/10.1101/cshperspect.a033431.</w:t>
      </w:r>
    </w:p>
    <w:p w14:paraId="34B12D38" w14:textId="77777777" w:rsidR="00BB37EB" w:rsidRPr="00EF5168" w:rsidRDefault="00BB37EB" w:rsidP="00EF5168">
      <w:pPr>
        <w:pStyle w:val="Bibliografia"/>
        <w:spacing w:line="228" w:lineRule="auto"/>
        <w:ind w:left="425" w:hanging="425"/>
        <w:rPr>
          <w:sz w:val="18"/>
        </w:rPr>
      </w:pPr>
      <w:r w:rsidRPr="00EF5168">
        <w:rPr>
          <w:sz w:val="18"/>
        </w:rPr>
        <w:t>[33]</w:t>
      </w:r>
      <w:r w:rsidRPr="00EF5168">
        <w:rPr>
          <w:sz w:val="18"/>
        </w:rPr>
        <w:tab/>
        <w:t>R. Wu, B. Meng, M. Corredig, M.W. Griffiths, Rapid Detection of Hepatitis A Virus in Foods Using a Bioluminescent Assay in Real-Time (BART) and Reverse Transcription Loop-Mediated Isothermal Amplification (RT-LAMP) Technology, Food Environ Virol 15 (2023) 144–157. https://doi.org/10.1007/s12560-022-09548-7.</w:t>
      </w:r>
    </w:p>
    <w:p w14:paraId="0C208C9F" w14:textId="77777777" w:rsidR="00BB37EB" w:rsidRPr="00EF5168" w:rsidRDefault="00BB37EB" w:rsidP="00EF5168">
      <w:pPr>
        <w:pStyle w:val="Bibliografia"/>
        <w:spacing w:line="228" w:lineRule="auto"/>
        <w:ind w:left="425" w:hanging="425"/>
        <w:rPr>
          <w:sz w:val="18"/>
        </w:rPr>
      </w:pPr>
      <w:r w:rsidRPr="00EF5168">
        <w:rPr>
          <w:sz w:val="18"/>
        </w:rPr>
        <w:lastRenderedPageBreak/>
        <w:t>[34]</w:t>
      </w:r>
      <w:r w:rsidRPr="00EF5168">
        <w:rPr>
          <w:sz w:val="18"/>
        </w:rPr>
        <w:tab/>
        <w:t>R. Cancelliere, T. Cosio, E. Campione, M. Corvino, M.P. D’Amico, L. Micheli, E. Signori, G. Contini, Label-free electrochemical immunosensor as a reliable point-of-care device for the detection of Interleukin-6 in serum samples from patients with psoriasis, Front. Chem. 11 (2023) 1251360. https://doi.org/10.3389/fchem.2023.1251360.</w:t>
      </w:r>
    </w:p>
    <w:p w14:paraId="57BF69FB" w14:textId="77777777" w:rsidR="00BB37EB" w:rsidRPr="00EF5168" w:rsidRDefault="00BB37EB" w:rsidP="00EF5168">
      <w:pPr>
        <w:pStyle w:val="Bibliografia"/>
        <w:spacing w:line="228" w:lineRule="auto"/>
        <w:ind w:left="425" w:hanging="425"/>
        <w:rPr>
          <w:sz w:val="18"/>
        </w:rPr>
      </w:pPr>
      <w:r w:rsidRPr="00EF5168">
        <w:rPr>
          <w:sz w:val="18"/>
        </w:rPr>
        <w:t>[35]</w:t>
      </w:r>
      <w:r w:rsidRPr="00EF5168">
        <w:rPr>
          <w:sz w:val="18"/>
        </w:rPr>
        <w:tab/>
        <w:t>M. Antipchik, J. Reut, A.G. Ayankojo, A. Öpik, V. Syritski, MIP-based electrochemical sensor for direct detection of hepatitis C virus via E2 envelope protein, Talanta 250 (2022) 123737. https://doi.org/10.1016/j.talanta.2022.123737.</w:t>
      </w:r>
    </w:p>
    <w:p w14:paraId="6551A131" w14:textId="77777777" w:rsidR="00BB37EB" w:rsidRPr="00EF5168" w:rsidRDefault="00BB37EB" w:rsidP="00EF5168">
      <w:pPr>
        <w:pStyle w:val="Bibliografia"/>
        <w:spacing w:line="228" w:lineRule="auto"/>
        <w:ind w:left="425" w:hanging="425"/>
        <w:rPr>
          <w:sz w:val="18"/>
        </w:rPr>
      </w:pPr>
      <w:r w:rsidRPr="00EF5168">
        <w:rPr>
          <w:sz w:val="18"/>
        </w:rPr>
        <w:t>[36]</w:t>
      </w:r>
      <w:r w:rsidRPr="00EF5168">
        <w:rPr>
          <w:sz w:val="18"/>
        </w:rPr>
        <w:tab/>
        <w:t>M. Manzano, S. Viezzi, S. Mazerat, R.S. Marks, J. Vidic, Rapid and label-free electrochemical DNA biosensor for detecting hepatitis A virus, Biosensors and Bioelectronics 100 (2018) 89–95. https://doi.org/10.1016/j.bios.2017.08.043.</w:t>
      </w:r>
    </w:p>
    <w:p w14:paraId="4145737D" w14:textId="3A6CAA44" w:rsidR="00B2702D" w:rsidRPr="00EF5168" w:rsidRDefault="002147AE" w:rsidP="00EF5168">
      <w:pPr>
        <w:pStyle w:val="Bibliografia"/>
        <w:spacing w:line="228" w:lineRule="auto"/>
        <w:rPr>
          <w:sz w:val="18"/>
        </w:rPr>
      </w:pPr>
      <w:r w:rsidRPr="00EF5168">
        <w:rPr>
          <w:sz w:val="18"/>
        </w:rPr>
        <w:fldChar w:fldCharType="end"/>
      </w:r>
    </w:p>
    <w:sectPr w:rsidR="00B2702D" w:rsidRPr="00EF5168" w:rsidSect="00295B7B">
      <w:headerReference w:type="even" r:id="rId15"/>
      <w:headerReference w:type="default" r:id="rId16"/>
      <w:footerReference w:type="default" r:id="rId17"/>
      <w:headerReference w:type="first" r:id="rId18"/>
      <w:footerReference w:type="first" r:id="rId19"/>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F59EB6" w14:textId="77777777" w:rsidR="00160131" w:rsidRDefault="00160131">
      <w:pPr>
        <w:spacing w:line="240" w:lineRule="auto"/>
      </w:pPr>
      <w:r>
        <w:separator/>
      </w:r>
    </w:p>
  </w:endnote>
  <w:endnote w:type="continuationSeparator" w:id="0">
    <w:p w14:paraId="26B2E721" w14:textId="77777777" w:rsidR="00160131" w:rsidRDefault="001601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1E34CB" w14:textId="77777777" w:rsidR="002B4819" w:rsidRPr="00C665C1" w:rsidRDefault="002B4819" w:rsidP="0028638C">
    <w:pPr>
      <w:pStyle w:val="Pidipagin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519778" w14:textId="77777777" w:rsidR="002B4819" w:rsidRDefault="002B4819" w:rsidP="001E11C8">
    <w:pPr>
      <w:pBdr>
        <w:top w:val="single" w:sz="4" w:space="0" w:color="000000"/>
      </w:pBdr>
      <w:tabs>
        <w:tab w:val="right" w:pos="8844"/>
      </w:tabs>
      <w:adjustRightInd w:val="0"/>
      <w:snapToGrid w:val="0"/>
      <w:spacing w:before="480" w:line="100" w:lineRule="exact"/>
      <w:jc w:val="left"/>
      <w:rPr>
        <w:i/>
        <w:sz w:val="16"/>
        <w:szCs w:val="16"/>
      </w:rPr>
    </w:pPr>
  </w:p>
  <w:p w14:paraId="102CC57E" w14:textId="77777777" w:rsidR="002B4819" w:rsidRPr="00372FCD" w:rsidRDefault="002B4819" w:rsidP="006E1A6D">
    <w:pPr>
      <w:tabs>
        <w:tab w:val="right" w:pos="10466"/>
      </w:tabs>
      <w:adjustRightInd w:val="0"/>
      <w:snapToGrid w:val="0"/>
      <w:spacing w:line="240" w:lineRule="auto"/>
      <w:rPr>
        <w:sz w:val="16"/>
        <w:szCs w:val="16"/>
        <w:lang w:val="fr-CH"/>
      </w:rPr>
    </w:pPr>
    <w:r w:rsidRPr="00DB2078">
      <w:rPr>
        <w:i/>
        <w:sz w:val="16"/>
        <w:szCs w:val="16"/>
      </w:rPr>
      <w:t>Chemosensors</w:t>
    </w:r>
    <w:r>
      <w:rPr>
        <w:i/>
        <w:sz w:val="16"/>
        <w:szCs w:val="16"/>
      </w:rPr>
      <w:t xml:space="preserve"> </w:t>
    </w:r>
    <w:r>
      <w:rPr>
        <w:b/>
        <w:bCs/>
        <w:iCs/>
        <w:sz w:val="16"/>
        <w:szCs w:val="16"/>
      </w:rPr>
      <w:t>2023</w:t>
    </w:r>
    <w:r w:rsidRPr="00593064">
      <w:rPr>
        <w:bCs/>
        <w:iCs/>
        <w:sz w:val="16"/>
        <w:szCs w:val="16"/>
      </w:rPr>
      <w:t>,</w:t>
    </w:r>
    <w:r>
      <w:rPr>
        <w:bCs/>
        <w:i/>
        <w:iCs/>
        <w:sz w:val="16"/>
        <w:szCs w:val="16"/>
      </w:rPr>
      <w:t xml:space="preserve"> 11</w:t>
    </w:r>
    <w:r w:rsidRPr="00593064">
      <w:rPr>
        <w:bCs/>
        <w:iCs/>
        <w:sz w:val="16"/>
        <w:szCs w:val="16"/>
      </w:rPr>
      <w:t xml:space="preserve">, </w:t>
    </w:r>
    <w:r>
      <w:rPr>
        <w:bCs/>
        <w:iCs/>
        <w:sz w:val="16"/>
        <w:szCs w:val="16"/>
      </w:rPr>
      <w:t>x. https://doi.org/10.3390/xxxxx</w:t>
    </w:r>
    <w:r w:rsidRPr="00372FCD">
      <w:rPr>
        <w:sz w:val="16"/>
        <w:szCs w:val="16"/>
        <w:lang w:val="fr-CH"/>
      </w:rPr>
      <w:tab/>
      <w:t>www.mdpi.com/journal/</w:t>
    </w:r>
    <w:r w:rsidRPr="00DB2078">
      <w:rPr>
        <w:sz w:val="16"/>
        <w:szCs w:val="16"/>
      </w:rPr>
      <w:t>chemosensors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D24B17" w14:textId="77777777" w:rsidR="00160131" w:rsidRDefault="00160131">
      <w:pPr>
        <w:spacing w:line="240" w:lineRule="auto"/>
      </w:pPr>
      <w:r>
        <w:separator/>
      </w:r>
    </w:p>
  </w:footnote>
  <w:footnote w:type="continuationSeparator" w:id="0">
    <w:p w14:paraId="06A3E4B5" w14:textId="77777777" w:rsidR="00160131" w:rsidRDefault="0016013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E848FB" w14:textId="77777777" w:rsidR="002B4819" w:rsidRDefault="002B4819" w:rsidP="0028638C">
    <w:pPr>
      <w:pStyle w:val="Intestazion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752E3C" w14:textId="7704F5A5" w:rsidR="002B4819" w:rsidRDefault="002B4819" w:rsidP="006E1A6D">
    <w:pPr>
      <w:tabs>
        <w:tab w:val="right" w:pos="10466"/>
      </w:tabs>
      <w:adjustRightInd w:val="0"/>
      <w:snapToGrid w:val="0"/>
      <w:spacing w:line="240" w:lineRule="auto"/>
      <w:rPr>
        <w:sz w:val="16"/>
      </w:rPr>
    </w:pPr>
    <w:r>
      <w:rPr>
        <w:i/>
        <w:sz w:val="16"/>
      </w:rPr>
      <w:t xml:space="preserve">Chemosensors </w:t>
    </w:r>
    <w:r>
      <w:rPr>
        <w:b/>
        <w:sz w:val="16"/>
      </w:rPr>
      <w:t>2023</w:t>
    </w:r>
    <w:r w:rsidRPr="00593064">
      <w:rPr>
        <w:sz w:val="16"/>
      </w:rPr>
      <w:t>,</w:t>
    </w:r>
    <w:r>
      <w:rPr>
        <w:i/>
        <w:sz w:val="16"/>
      </w:rPr>
      <w:t xml:space="preserve"> 11</w:t>
    </w:r>
    <w:r>
      <w:rPr>
        <w:sz w:val="16"/>
      </w:rPr>
      <w:t>, x FOR PEER REVIEW</w:t>
    </w:r>
    <w:r>
      <w:rPr>
        <w:sz w:val="16"/>
      </w:rPr>
      <w:tab/>
    </w:r>
    <w:r>
      <w:rPr>
        <w:sz w:val="16"/>
      </w:rPr>
      <w:fldChar w:fldCharType="begin"/>
    </w:r>
    <w:r>
      <w:rPr>
        <w:sz w:val="16"/>
      </w:rPr>
      <w:instrText xml:space="preserve"> PAGE   \* MERGEFORMAT </w:instrText>
    </w:r>
    <w:r>
      <w:rPr>
        <w:sz w:val="16"/>
      </w:rPr>
      <w:fldChar w:fldCharType="separate"/>
    </w:r>
    <w:r w:rsidR="0028154A">
      <w:rPr>
        <w:sz w:val="16"/>
      </w:rPr>
      <w:t>14</w:t>
    </w:r>
    <w:r>
      <w:rPr>
        <w:sz w:val="16"/>
      </w:rPr>
      <w:fldChar w:fldCharType="end"/>
    </w:r>
    <w:r>
      <w:rPr>
        <w:sz w:val="16"/>
      </w:rPr>
      <w:t xml:space="preserve"> of </w:t>
    </w:r>
    <w:r>
      <w:rPr>
        <w:sz w:val="16"/>
      </w:rPr>
      <w:fldChar w:fldCharType="begin"/>
    </w:r>
    <w:r>
      <w:rPr>
        <w:sz w:val="16"/>
      </w:rPr>
      <w:instrText xml:space="preserve"> NUMPAGES   \* MERGEFORMAT </w:instrText>
    </w:r>
    <w:r>
      <w:rPr>
        <w:sz w:val="16"/>
      </w:rPr>
      <w:fldChar w:fldCharType="separate"/>
    </w:r>
    <w:r w:rsidR="0028154A">
      <w:rPr>
        <w:sz w:val="16"/>
      </w:rPr>
      <w:t>14</w:t>
    </w:r>
    <w:r>
      <w:rPr>
        <w:sz w:val="16"/>
      </w:rPr>
      <w:fldChar w:fldCharType="end"/>
    </w:r>
  </w:p>
  <w:p w14:paraId="167B8AF1" w14:textId="77777777" w:rsidR="002B4819" w:rsidRPr="00067AF9" w:rsidRDefault="002B4819" w:rsidP="001E11C8">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487" w:type="dxa"/>
      <w:tblCellMar>
        <w:left w:w="0" w:type="dxa"/>
        <w:right w:w="0" w:type="dxa"/>
      </w:tblCellMar>
      <w:tblLook w:val="04A0" w:firstRow="1" w:lastRow="0" w:firstColumn="1" w:lastColumn="0" w:noHBand="0" w:noVBand="1"/>
    </w:tblPr>
    <w:tblGrid>
      <w:gridCol w:w="3679"/>
      <w:gridCol w:w="4535"/>
      <w:gridCol w:w="2273"/>
    </w:tblGrid>
    <w:tr w:rsidR="002B4819" w:rsidRPr="006E1A6D" w14:paraId="3113C78C" w14:textId="77777777" w:rsidTr="005A3EDE">
      <w:trPr>
        <w:trHeight w:val="686"/>
      </w:trPr>
      <w:tc>
        <w:tcPr>
          <w:tcW w:w="3679" w:type="dxa"/>
          <w:shd w:val="clear" w:color="auto" w:fill="auto"/>
          <w:vAlign w:val="center"/>
        </w:tcPr>
        <w:p w14:paraId="10713C7E" w14:textId="77777777" w:rsidR="002B4819" w:rsidRPr="00A04FE3" w:rsidRDefault="002B4819" w:rsidP="006E1A6D">
          <w:pPr>
            <w:pStyle w:val="Intestazione"/>
            <w:pBdr>
              <w:bottom w:val="none" w:sz="0" w:space="0" w:color="auto"/>
            </w:pBdr>
            <w:jc w:val="left"/>
            <w:rPr>
              <w:rFonts w:eastAsia="DengXian"/>
              <w:b/>
              <w:bCs/>
            </w:rPr>
          </w:pPr>
          <w:r w:rsidRPr="00A04FE3">
            <w:rPr>
              <w:rFonts w:eastAsia="DengXian"/>
              <w:b/>
              <w:bCs/>
              <w:lang w:val="en-GB" w:eastAsia="en-GB"/>
            </w:rPr>
            <w:drawing>
              <wp:inline distT="0" distB="0" distL="0" distR="0" wp14:anchorId="4F246EBF" wp14:editId="43B96902">
                <wp:extent cx="1676400" cy="429260"/>
                <wp:effectExtent l="0" t="0" r="0" b="0"/>
                <wp:docPr id="1" name="Picture 3" descr="C:\Users\home\AppData\Local\Temp\HZ$D.003.486\chemosensors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003.486\chemosensors_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6400" cy="429260"/>
                        </a:xfrm>
                        <a:prstGeom prst="rect">
                          <a:avLst/>
                        </a:prstGeom>
                        <a:noFill/>
                        <a:ln>
                          <a:noFill/>
                        </a:ln>
                      </pic:spPr>
                    </pic:pic>
                  </a:graphicData>
                </a:graphic>
              </wp:inline>
            </w:drawing>
          </w:r>
        </w:p>
      </w:tc>
      <w:tc>
        <w:tcPr>
          <w:tcW w:w="4535" w:type="dxa"/>
          <w:shd w:val="clear" w:color="auto" w:fill="auto"/>
          <w:vAlign w:val="center"/>
        </w:tcPr>
        <w:p w14:paraId="632A6046" w14:textId="77777777" w:rsidR="002B4819" w:rsidRPr="00A04FE3" w:rsidRDefault="002B4819" w:rsidP="006E1A6D">
          <w:pPr>
            <w:pStyle w:val="Intestazione"/>
            <w:pBdr>
              <w:bottom w:val="none" w:sz="0" w:space="0" w:color="auto"/>
            </w:pBdr>
            <w:rPr>
              <w:rFonts w:eastAsia="DengXian"/>
              <w:b/>
              <w:bCs/>
            </w:rPr>
          </w:pPr>
        </w:p>
      </w:tc>
      <w:tc>
        <w:tcPr>
          <w:tcW w:w="2273" w:type="dxa"/>
          <w:shd w:val="clear" w:color="auto" w:fill="auto"/>
          <w:vAlign w:val="center"/>
        </w:tcPr>
        <w:p w14:paraId="6BBC479A" w14:textId="77777777" w:rsidR="002B4819" w:rsidRPr="00A04FE3" w:rsidRDefault="002B4819" w:rsidP="005A3EDE">
          <w:pPr>
            <w:pStyle w:val="Intestazione"/>
            <w:pBdr>
              <w:bottom w:val="none" w:sz="0" w:space="0" w:color="auto"/>
            </w:pBdr>
            <w:jc w:val="right"/>
            <w:rPr>
              <w:rFonts w:eastAsia="DengXian"/>
              <w:b/>
              <w:bCs/>
            </w:rPr>
          </w:pPr>
          <w:r>
            <w:rPr>
              <w:rFonts w:eastAsia="DengXian"/>
              <w:b/>
              <w:bCs/>
              <w:lang w:val="en-GB" w:eastAsia="en-GB"/>
            </w:rPr>
            <w:drawing>
              <wp:inline distT="0" distB="0" distL="0" distR="0" wp14:anchorId="3AFE407A" wp14:editId="46FC5E7D">
                <wp:extent cx="540000" cy="360000"/>
                <wp:effectExtent l="0" t="0" r="0" b="2540"/>
                <wp:docPr id="7" name="Picture 7"/>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
                          <a:extLst>
                            <a:ext uri="{28A0092B-C50C-407E-A947-70E740481C1C}">
                              <a14:useLocalDpi xmlns:a14="http://schemas.microsoft.com/office/drawing/2010/main" val="0"/>
                            </a:ext>
                          </a:extLst>
                        </a:blip>
                        <a:stretch>
                          <a:fillRect/>
                        </a:stretch>
                      </pic:blipFill>
                      <pic:spPr>
                        <a:xfrm>
                          <a:off x="0" y="0"/>
                          <a:ext cx="540000" cy="360000"/>
                        </a:xfrm>
                        <a:prstGeom prst="rect">
                          <a:avLst/>
                        </a:prstGeom>
                      </pic:spPr>
                    </pic:pic>
                  </a:graphicData>
                </a:graphic>
              </wp:inline>
            </w:drawing>
          </w:r>
        </w:p>
      </w:tc>
    </w:tr>
  </w:tbl>
  <w:p w14:paraId="5EDB0F36" w14:textId="77777777" w:rsidR="002B4819" w:rsidRPr="0030046C" w:rsidRDefault="002B4819" w:rsidP="001E11C8">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6B27ED"/>
    <w:multiLevelType w:val="hybridMultilevel"/>
    <w:tmpl w:val="5D4CB19C"/>
    <w:lvl w:ilvl="0" w:tplc="B2864F86">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B468F5"/>
    <w:multiLevelType w:val="hybridMultilevel"/>
    <w:tmpl w:val="076CF600"/>
    <w:lvl w:ilvl="0" w:tplc="F24CD86A">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C6F5D"/>
    <w:multiLevelType w:val="hybridMultilevel"/>
    <w:tmpl w:val="A81AA10C"/>
    <w:lvl w:ilvl="0" w:tplc="58E81EAA">
      <w:start w:val="1"/>
      <w:numFmt w:val="decimal"/>
      <w:lvlRestart w:val="0"/>
      <w:pStyle w:val="MDPI71FootNotes"/>
      <w:lvlText w:val="%1."/>
      <w:lvlJc w:val="left"/>
      <w:pPr>
        <w:ind w:left="425" w:hanging="425"/>
      </w:pPr>
      <w:rPr>
        <w:rFonts w:hint="default"/>
        <w:vertAlign w:val="superscrip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3"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5"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257FFB"/>
    <w:multiLevelType w:val="hybridMultilevel"/>
    <w:tmpl w:val="7982EA6C"/>
    <w:lvl w:ilvl="0" w:tplc="B97AFF5A">
      <w:start w:val="1"/>
      <w:numFmt w:val="decimal"/>
      <w:lvlText w:val="%1"/>
      <w:lvlJc w:val="left"/>
      <w:pPr>
        <w:ind w:left="2970" w:hanging="360"/>
      </w:pPr>
      <w:rPr>
        <w:rFonts w:hint="default"/>
        <w:color w:val="000000"/>
        <w:u w:val="none"/>
        <w:vertAlign w:val="superscript"/>
      </w:rPr>
    </w:lvl>
    <w:lvl w:ilvl="1" w:tplc="04100019" w:tentative="1">
      <w:start w:val="1"/>
      <w:numFmt w:val="lowerLetter"/>
      <w:lvlText w:val="%2."/>
      <w:lvlJc w:val="left"/>
      <w:pPr>
        <w:ind w:left="3690" w:hanging="360"/>
      </w:pPr>
    </w:lvl>
    <w:lvl w:ilvl="2" w:tplc="0410001B" w:tentative="1">
      <w:start w:val="1"/>
      <w:numFmt w:val="lowerRoman"/>
      <w:lvlText w:val="%3."/>
      <w:lvlJc w:val="right"/>
      <w:pPr>
        <w:ind w:left="4410" w:hanging="180"/>
      </w:pPr>
    </w:lvl>
    <w:lvl w:ilvl="3" w:tplc="0410000F" w:tentative="1">
      <w:start w:val="1"/>
      <w:numFmt w:val="decimal"/>
      <w:lvlText w:val="%4."/>
      <w:lvlJc w:val="left"/>
      <w:pPr>
        <w:ind w:left="5130" w:hanging="360"/>
      </w:pPr>
    </w:lvl>
    <w:lvl w:ilvl="4" w:tplc="04100019" w:tentative="1">
      <w:start w:val="1"/>
      <w:numFmt w:val="lowerLetter"/>
      <w:lvlText w:val="%5."/>
      <w:lvlJc w:val="left"/>
      <w:pPr>
        <w:ind w:left="5850" w:hanging="360"/>
      </w:pPr>
    </w:lvl>
    <w:lvl w:ilvl="5" w:tplc="0410001B" w:tentative="1">
      <w:start w:val="1"/>
      <w:numFmt w:val="lowerRoman"/>
      <w:lvlText w:val="%6."/>
      <w:lvlJc w:val="right"/>
      <w:pPr>
        <w:ind w:left="6570" w:hanging="180"/>
      </w:pPr>
    </w:lvl>
    <w:lvl w:ilvl="6" w:tplc="0410000F" w:tentative="1">
      <w:start w:val="1"/>
      <w:numFmt w:val="decimal"/>
      <w:lvlText w:val="%7."/>
      <w:lvlJc w:val="left"/>
      <w:pPr>
        <w:ind w:left="7290" w:hanging="360"/>
      </w:pPr>
    </w:lvl>
    <w:lvl w:ilvl="7" w:tplc="04100019" w:tentative="1">
      <w:start w:val="1"/>
      <w:numFmt w:val="lowerLetter"/>
      <w:lvlText w:val="%8."/>
      <w:lvlJc w:val="left"/>
      <w:pPr>
        <w:ind w:left="8010" w:hanging="360"/>
      </w:pPr>
    </w:lvl>
    <w:lvl w:ilvl="8" w:tplc="0410001B" w:tentative="1">
      <w:start w:val="1"/>
      <w:numFmt w:val="lowerRoman"/>
      <w:lvlText w:val="%9."/>
      <w:lvlJc w:val="right"/>
      <w:pPr>
        <w:ind w:left="8730" w:hanging="180"/>
      </w:pPr>
    </w:lvl>
  </w:abstractNum>
  <w:abstractNum w:abstractNumId="7" w15:restartNumberingAfterBreak="0">
    <w:nsid w:val="33D52A08"/>
    <w:multiLevelType w:val="hybridMultilevel"/>
    <w:tmpl w:val="5EC4DEAE"/>
    <w:lvl w:ilvl="0" w:tplc="FFFFFFFF">
      <w:start w:val="1"/>
      <w:numFmt w:val="decimal"/>
      <w:lvlText w:val="%1."/>
      <w:lvlJc w:val="left"/>
      <w:pPr>
        <w:ind w:left="360" w:hanging="360"/>
      </w:pPr>
      <w:rPr>
        <w:rFonts w:hint="default"/>
        <w:color w:val="FF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9" w15:restartNumberingAfterBreak="0">
    <w:nsid w:val="3AB877A2"/>
    <w:multiLevelType w:val="hybridMultilevel"/>
    <w:tmpl w:val="1A2ECF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4B8F7A17"/>
    <w:multiLevelType w:val="hybridMultilevel"/>
    <w:tmpl w:val="3918C11E"/>
    <w:lvl w:ilvl="0" w:tplc="0410000F">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3C44003"/>
    <w:multiLevelType w:val="hybridMultilevel"/>
    <w:tmpl w:val="5290F14A"/>
    <w:lvl w:ilvl="0" w:tplc="02C49570">
      <w:numFmt w:val="bullet"/>
      <w:lvlText w:val="•"/>
      <w:lvlJc w:val="left"/>
      <w:pPr>
        <w:ind w:left="3064" w:hanging="456"/>
      </w:pPr>
      <w:rPr>
        <w:rFonts w:ascii="Palatino Linotype" w:eastAsia="Times New Roman" w:hAnsi="Palatino Linotype" w:cs="Times New Roman" w:hint="default"/>
      </w:rPr>
    </w:lvl>
    <w:lvl w:ilvl="1" w:tplc="04100003" w:tentative="1">
      <w:start w:val="1"/>
      <w:numFmt w:val="bullet"/>
      <w:lvlText w:val="o"/>
      <w:lvlJc w:val="left"/>
      <w:pPr>
        <w:ind w:left="3688" w:hanging="360"/>
      </w:pPr>
      <w:rPr>
        <w:rFonts w:ascii="Courier New" w:hAnsi="Courier New" w:cs="Courier New" w:hint="default"/>
      </w:rPr>
    </w:lvl>
    <w:lvl w:ilvl="2" w:tplc="04100005" w:tentative="1">
      <w:start w:val="1"/>
      <w:numFmt w:val="bullet"/>
      <w:lvlText w:val=""/>
      <w:lvlJc w:val="left"/>
      <w:pPr>
        <w:ind w:left="4408" w:hanging="360"/>
      </w:pPr>
      <w:rPr>
        <w:rFonts w:ascii="Wingdings" w:hAnsi="Wingdings" w:hint="default"/>
      </w:rPr>
    </w:lvl>
    <w:lvl w:ilvl="3" w:tplc="04100001" w:tentative="1">
      <w:start w:val="1"/>
      <w:numFmt w:val="bullet"/>
      <w:lvlText w:val=""/>
      <w:lvlJc w:val="left"/>
      <w:pPr>
        <w:ind w:left="5128" w:hanging="360"/>
      </w:pPr>
      <w:rPr>
        <w:rFonts w:ascii="Symbol" w:hAnsi="Symbol" w:hint="default"/>
      </w:rPr>
    </w:lvl>
    <w:lvl w:ilvl="4" w:tplc="04100003" w:tentative="1">
      <w:start w:val="1"/>
      <w:numFmt w:val="bullet"/>
      <w:lvlText w:val="o"/>
      <w:lvlJc w:val="left"/>
      <w:pPr>
        <w:ind w:left="5848" w:hanging="360"/>
      </w:pPr>
      <w:rPr>
        <w:rFonts w:ascii="Courier New" w:hAnsi="Courier New" w:cs="Courier New" w:hint="default"/>
      </w:rPr>
    </w:lvl>
    <w:lvl w:ilvl="5" w:tplc="04100005" w:tentative="1">
      <w:start w:val="1"/>
      <w:numFmt w:val="bullet"/>
      <w:lvlText w:val=""/>
      <w:lvlJc w:val="left"/>
      <w:pPr>
        <w:ind w:left="6568" w:hanging="360"/>
      </w:pPr>
      <w:rPr>
        <w:rFonts w:ascii="Wingdings" w:hAnsi="Wingdings" w:hint="default"/>
      </w:rPr>
    </w:lvl>
    <w:lvl w:ilvl="6" w:tplc="04100001" w:tentative="1">
      <w:start w:val="1"/>
      <w:numFmt w:val="bullet"/>
      <w:lvlText w:val=""/>
      <w:lvlJc w:val="left"/>
      <w:pPr>
        <w:ind w:left="7288" w:hanging="360"/>
      </w:pPr>
      <w:rPr>
        <w:rFonts w:ascii="Symbol" w:hAnsi="Symbol" w:hint="default"/>
      </w:rPr>
    </w:lvl>
    <w:lvl w:ilvl="7" w:tplc="04100003" w:tentative="1">
      <w:start w:val="1"/>
      <w:numFmt w:val="bullet"/>
      <w:lvlText w:val="o"/>
      <w:lvlJc w:val="left"/>
      <w:pPr>
        <w:ind w:left="8008" w:hanging="360"/>
      </w:pPr>
      <w:rPr>
        <w:rFonts w:ascii="Courier New" w:hAnsi="Courier New" w:cs="Courier New" w:hint="default"/>
      </w:rPr>
    </w:lvl>
    <w:lvl w:ilvl="8" w:tplc="04100005" w:tentative="1">
      <w:start w:val="1"/>
      <w:numFmt w:val="bullet"/>
      <w:lvlText w:val=""/>
      <w:lvlJc w:val="left"/>
      <w:pPr>
        <w:ind w:left="8728" w:hanging="360"/>
      </w:pPr>
      <w:rPr>
        <w:rFonts w:ascii="Wingdings" w:hAnsi="Wingdings" w:hint="default"/>
      </w:rPr>
    </w:lvl>
  </w:abstractNum>
  <w:abstractNum w:abstractNumId="13" w15:restartNumberingAfterBreak="0">
    <w:nsid w:val="54075B53"/>
    <w:multiLevelType w:val="hybridMultilevel"/>
    <w:tmpl w:val="A0DCA02E"/>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4" w15:restartNumberingAfterBreak="0">
    <w:nsid w:val="552122E1"/>
    <w:multiLevelType w:val="multilevel"/>
    <w:tmpl w:val="7F2E9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6CF7C60"/>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5252A1"/>
    <w:multiLevelType w:val="hybridMultilevel"/>
    <w:tmpl w:val="FCB08CC6"/>
    <w:lvl w:ilvl="0" w:tplc="DBF0049A">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17" w15:restartNumberingAfterBreak="0">
    <w:nsid w:val="659A24B1"/>
    <w:multiLevelType w:val="singleLevel"/>
    <w:tmpl w:val="1AC0A306"/>
    <w:lvl w:ilvl="0">
      <w:start w:val="1"/>
      <w:numFmt w:val="decimal"/>
      <w:lvlText w:val="%1."/>
      <w:lvlJc w:val="left"/>
      <w:pPr>
        <w:ind w:left="288" w:firstLine="72"/>
      </w:pPr>
      <w:rPr>
        <w:vertAlign w:val="superscript"/>
      </w:rPr>
    </w:lvl>
  </w:abstractNum>
  <w:abstractNum w:abstractNumId="18" w15:restartNumberingAfterBreak="0">
    <w:nsid w:val="6AE644A1"/>
    <w:multiLevelType w:val="hybridMultilevel"/>
    <w:tmpl w:val="53322728"/>
    <w:lvl w:ilvl="0" w:tplc="04100001">
      <w:start w:val="1"/>
      <w:numFmt w:val="bullet"/>
      <w:lvlText w:val=""/>
      <w:lvlJc w:val="left"/>
      <w:pPr>
        <w:ind w:left="3328" w:hanging="360"/>
      </w:pPr>
      <w:rPr>
        <w:rFonts w:ascii="Symbol" w:hAnsi="Symbol" w:hint="default"/>
      </w:rPr>
    </w:lvl>
    <w:lvl w:ilvl="1" w:tplc="04100003" w:tentative="1">
      <w:start w:val="1"/>
      <w:numFmt w:val="bullet"/>
      <w:lvlText w:val="o"/>
      <w:lvlJc w:val="left"/>
      <w:pPr>
        <w:ind w:left="4048" w:hanging="360"/>
      </w:pPr>
      <w:rPr>
        <w:rFonts w:ascii="Courier New" w:hAnsi="Courier New" w:cs="Courier New" w:hint="default"/>
      </w:rPr>
    </w:lvl>
    <w:lvl w:ilvl="2" w:tplc="04100005" w:tentative="1">
      <w:start w:val="1"/>
      <w:numFmt w:val="bullet"/>
      <w:lvlText w:val=""/>
      <w:lvlJc w:val="left"/>
      <w:pPr>
        <w:ind w:left="4768" w:hanging="360"/>
      </w:pPr>
      <w:rPr>
        <w:rFonts w:ascii="Wingdings" w:hAnsi="Wingdings" w:hint="default"/>
      </w:rPr>
    </w:lvl>
    <w:lvl w:ilvl="3" w:tplc="04100001" w:tentative="1">
      <w:start w:val="1"/>
      <w:numFmt w:val="bullet"/>
      <w:lvlText w:val=""/>
      <w:lvlJc w:val="left"/>
      <w:pPr>
        <w:ind w:left="5488" w:hanging="360"/>
      </w:pPr>
      <w:rPr>
        <w:rFonts w:ascii="Symbol" w:hAnsi="Symbol" w:hint="default"/>
      </w:rPr>
    </w:lvl>
    <w:lvl w:ilvl="4" w:tplc="04100003" w:tentative="1">
      <w:start w:val="1"/>
      <w:numFmt w:val="bullet"/>
      <w:lvlText w:val="o"/>
      <w:lvlJc w:val="left"/>
      <w:pPr>
        <w:ind w:left="6208" w:hanging="360"/>
      </w:pPr>
      <w:rPr>
        <w:rFonts w:ascii="Courier New" w:hAnsi="Courier New" w:cs="Courier New" w:hint="default"/>
      </w:rPr>
    </w:lvl>
    <w:lvl w:ilvl="5" w:tplc="04100005" w:tentative="1">
      <w:start w:val="1"/>
      <w:numFmt w:val="bullet"/>
      <w:lvlText w:val=""/>
      <w:lvlJc w:val="left"/>
      <w:pPr>
        <w:ind w:left="6928" w:hanging="360"/>
      </w:pPr>
      <w:rPr>
        <w:rFonts w:ascii="Wingdings" w:hAnsi="Wingdings" w:hint="default"/>
      </w:rPr>
    </w:lvl>
    <w:lvl w:ilvl="6" w:tplc="04100001" w:tentative="1">
      <w:start w:val="1"/>
      <w:numFmt w:val="bullet"/>
      <w:lvlText w:val=""/>
      <w:lvlJc w:val="left"/>
      <w:pPr>
        <w:ind w:left="7648" w:hanging="360"/>
      </w:pPr>
      <w:rPr>
        <w:rFonts w:ascii="Symbol" w:hAnsi="Symbol" w:hint="default"/>
      </w:rPr>
    </w:lvl>
    <w:lvl w:ilvl="7" w:tplc="04100003" w:tentative="1">
      <w:start w:val="1"/>
      <w:numFmt w:val="bullet"/>
      <w:lvlText w:val="o"/>
      <w:lvlJc w:val="left"/>
      <w:pPr>
        <w:ind w:left="8368" w:hanging="360"/>
      </w:pPr>
      <w:rPr>
        <w:rFonts w:ascii="Courier New" w:hAnsi="Courier New" w:cs="Courier New" w:hint="default"/>
      </w:rPr>
    </w:lvl>
    <w:lvl w:ilvl="8" w:tplc="04100005" w:tentative="1">
      <w:start w:val="1"/>
      <w:numFmt w:val="bullet"/>
      <w:lvlText w:val=""/>
      <w:lvlJc w:val="left"/>
      <w:pPr>
        <w:ind w:left="9088" w:hanging="360"/>
      </w:pPr>
      <w:rPr>
        <w:rFonts w:ascii="Wingdings" w:hAnsi="Wingdings" w:hint="default"/>
      </w:rPr>
    </w:lvl>
  </w:abstractNum>
  <w:abstractNum w:abstractNumId="19" w15:restartNumberingAfterBreak="0">
    <w:nsid w:val="6B8E6CE5"/>
    <w:multiLevelType w:val="hybridMultilevel"/>
    <w:tmpl w:val="C1B027A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32885447">
    <w:abstractNumId w:val="4"/>
  </w:num>
  <w:num w:numId="2" w16cid:durableId="15424987">
    <w:abstractNumId w:val="8"/>
  </w:num>
  <w:num w:numId="3" w16cid:durableId="910384219">
    <w:abstractNumId w:val="3"/>
  </w:num>
  <w:num w:numId="4" w16cid:durableId="1545751517">
    <w:abstractNumId w:val="5"/>
  </w:num>
  <w:num w:numId="5" w16cid:durableId="1415855828">
    <w:abstractNumId w:val="13"/>
  </w:num>
  <w:num w:numId="6" w16cid:durableId="844518670">
    <w:abstractNumId w:val="2"/>
  </w:num>
  <w:num w:numId="7" w16cid:durableId="971591883">
    <w:abstractNumId w:val="13"/>
  </w:num>
  <w:num w:numId="8" w16cid:durableId="1943100781">
    <w:abstractNumId w:val="2"/>
  </w:num>
  <w:num w:numId="9" w16cid:durableId="2028361504">
    <w:abstractNumId w:val="13"/>
  </w:num>
  <w:num w:numId="10" w16cid:durableId="670912176">
    <w:abstractNumId w:val="2"/>
  </w:num>
  <w:num w:numId="11" w16cid:durableId="5142231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32203452">
    <w:abstractNumId w:val="15"/>
  </w:num>
  <w:num w:numId="13" w16cid:durableId="1787037005">
    <w:abstractNumId w:val="20"/>
  </w:num>
  <w:num w:numId="14" w16cid:durableId="340284032">
    <w:abstractNumId w:val="13"/>
  </w:num>
  <w:num w:numId="15" w16cid:durableId="222760904">
    <w:abstractNumId w:val="2"/>
  </w:num>
  <w:num w:numId="16" w16cid:durableId="386952814">
    <w:abstractNumId w:val="1"/>
  </w:num>
  <w:num w:numId="17" w16cid:durableId="230432494">
    <w:abstractNumId w:val="11"/>
  </w:num>
  <w:num w:numId="18" w16cid:durableId="1292440086">
    <w:abstractNumId w:val="0"/>
  </w:num>
  <w:num w:numId="19" w16cid:durableId="1803771737">
    <w:abstractNumId w:val="13"/>
  </w:num>
  <w:num w:numId="20" w16cid:durableId="1834101206">
    <w:abstractNumId w:val="2"/>
  </w:num>
  <w:num w:numId="21" w16cid:durableId="591476847">
    <w:abstractNumId w:val="1"/>
  </w:num>
  <w:num w:numId="22" w16cid:durableId="805587128">
    <w:abstractNumId w:val="16"/>
  </w:num>
  <w:num w:numId="23" w16cid:durableId="1620453388">
    <w:abstractNumId w:val="0"/>
  </w:num>
  <w:num w:numId="24" w16cid:durableId="1371105483">
    <w:abstractNumId w:val="7"/>
  </w:num>
  <w:num w:numId="25" w16cid:durableId="414744533">
    <w:abstractNumId w:val="10"/>
  </w:num>
  <w:num w:numId="26" w16cid:durableId="1255046402">
    <w:abstractNumId w:val="19"/>
  </w:num>
  <w:num w:numId="27" w16cid:durableId="1181895435">
    <w:abstractNumId w:val="9"/>
  </w:num>
  <w:num w:numId="28" w16cid:durableId="2132431487">
    <w:abstractNumId w:val="18"/>
  </w:num>
  <w:num w:numId="29" w16cid:durableId="1731926045">
    <w:abstractNumId w:val="12"/>
  </w:num>
  <w:num w:numId="30" w16cid:durableId="640186856">
    <w:abstractNumId w:val="6"/>
  </w:num>
  <w:num w:numId="31" w16cid:durableId="2000376410">
    <w:abstractNumId w:val="14"/>
  </w:num>
  <w:num w:numId="32" w16cid:durableId="43636865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283"/>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BFE"/>
    <w:rsid w:val="0000048C"/>
    <w:rsid w:val="0000214D"/>
    <w:rsid w:val="0000234F"/>
    <w:rsid w:val="000258C5"/>
    <w:rsid w:val="00033F6D"/>
    <w:rsid w:val="00036B5B"/>
    <w:rsid w:val="00040B01"/>
    <w:rsid w:val="00040E61"/>
    <w:rsid w:val="000417B2"/>
    <w:rsid w:val="000770A9"/>
    <w:rsid w:val="00086430"/>
    <w:rsid w:val="00091F44"/>
    <w:rsid w:val="00095BB1"/>
    <w:rsid w:val="00096679"/>
    <w:rsid w:val="00097635"/>
    <w:rsid w:val="00097D44"/>
    <w:rsid w:val="000A0045"/>
    <w:rsid w:val="000A38EB"/>
    <w:rsid w:val="000A491C"/>
    <w:rsid w:val="000B20C6"/>
    <w:rsid w:val="000B3918"/>
    <w:rsid w:val="000B556C"/>
    <w:rsid w:val="000C114D"/>
    <w:rsid w:val="000D356C"/>
    <w:rsid w:val="000E4AA9"/>
    <w:rsid w:val="000F78CD"/>
    <w:rsid w:val="0010374B"/>
    <w:rsid w:val="00104D80"/>
    <w:rsid w:val="001052A1"/>
    <w:rsid w:val="00107065"/>
    <w:rsid w:val="00112ADE"/>
    <w:rsid w:val="001144DD"/>
    <w:rsid w:val="00114C41"/>
    <w:rsid w:val="00123F10"/>
    <w:rsid w:val="00152FCC"/>
    <w:rsid w:val="00156744"/>
    <w:rsid w:val="00160131"/>
    <w:rsid w:val="00164A4C"/>
    <w:rsid w:val="00166D7E"/>
    <w:rsid w:val="00170F96"/>
    <w:rsid w:val="00171223"/>
    <w:rsid w:val="001915B8"/>
    <w:rsid w:val="001A093E"/>
    <w:rsid w:val="001A6AC8"/>
    <w:rsid w:val="001B5587"/>
    <w:rsid w:val="001B5EB3"/>
    <w:rsid w:val="001C3FE4"/>
    <w:rsid w:val="001D2F3A"/>
    <w:rsid w:val="001D3A10"/>
    <w:rsid w:val="001D4AF9"/>
    <w:rsid w:val="001E11C8"/>
    <w:rsid w:val="001E2AEB"/>
    <w:rsid w:val="001F4585"/>
    <w:rsid w:val="002007F4"/>
    <w:rsid w:val="00202194"/>
    <w:rsid w:val="00204BB1"/>
    <w:rsid w:val="00207C8A"/>
    <w:rsid w:val="00214158"/>
    <w:rsid w:val="002147AE"/>
    <w:rsid w:val="00214F3A"/>
    <w:rsid w:val="00223E76"/>
    <w:rsid w:val="00224CE3"/>
    <w:rsid w:val="00225070"/>
    <w:rsid w:val="0023098C"/>
    <w:rsid w:val="002349F9"/>
    <w:rsid w:val="002410F3"/>
    <w:rsid w:val="0024612D"/>
    <w:rsid w:val="002532CE"/>
    <w:rsid w:val="00263916"/>
    <w:rsid w:val="0026447C"/>
    <w:rsid w:val="00264D5A"/>
    <w:rsid w:val="0028154A"/>
    <w:rsid w:val="002821E4"/>
    <w:rsid w:val="0028638C"/>
    <w:rsid w:val="00290BAB"/>
    <w:rsid w:val="00295B7B"/>
    <w:rsid w:val="002B4819"/>
    <w:rsid w:val="002B652B"/>
    <w:rsid w:val="002C06FB"/>
    <w:rsid w:val="002C5B76"/>
    <w:rsid w:val="002D0FA3"/>
    <w:rsid w:val="002D1F4C"/>
    <w:rsid w:val="002E30DC"/>
    <w:rsid w:val="002E70E8"/>
    <w:rsid w:val="002F2B7C"/>
    <w:rsid w:val="0030046C"/>
    <w:rsid w:val="00302CEB"/>
    <w:rsid w:val="003123E5"/>
    <w:rsid w:val="00312529"/>
    <w:rsid w:val="00312FBA"/>
    <w:rsid w:val="00316ED6"/>
    <w:rsid w:val="0032143D"/>
    <w:rsid w:val="00326141"/>
    <w:rsid w:val="00335F20"/>
    <w:rsid w:val="00340A0F"/>
    <w:rsid w:val="00344C6D"/>
    <w:rsid w:val="00344F12"/>
    <w:rsid w:val="00351EBD"/>
    <w:rsid w:val="00357A13"/>
    <w:rsid w:val="00360FA6"/>
    <w:rsid w:val="00364A56"/>
    <w:rsid w:val="003666B6"/>
    <w:rsid w:val="00371AB3"/>
    <w:rsid w:val="003728EB"/>
    <w:rsid w:val="00383143"/>
    <w:rsid w:val="00383A0D"/>
    <w:rsid w:val="0039264C"/>
    <w:rsid w:val="00392B34"/>
    <w:rsid w:val="003A0D50"/>
    <w:rsid w:val="003B0D1C"/>
    <w:rsid w:val="003B14B6"/>
    <w:rsid w:val="003B6491"/>
    <w:rsid w:val="003C0524"/>
    <w:rsid w:val="003D49AA"/>
    <w:rsid w:val="003E0895"/>
    <w:rsid w:val="003E3792"/>
    <w:rsid w:val="003F07DC"/>
    <w:rsid w:val="00401D30"/>
    <w:rsid w:val="004022C9"/>
    <w:rsid w:val="004038F4"/>
    <w:rsid w:val="00406EE1"/>
    <w:rsid w:val="00412EE9"/>
    <w:rsid w:val="004138F1"/>
    <w:rsid w:val="00425752"/>
    <w:rsid w:val="00425D20"/>
    <w:rsid w:val="004278F5"/>
    <w:rsid w:val="00430420"/>
    <w:rsid w:val="00444FA7"/>
    <w:rsid w:val="004506E6"/>
    <w:rsid w:val="00461C58"/>
    <w:rsid w:val="004676D7"/>
    <w:rsid w:val="00467F02"/>
    <w:rsid w:val="004A5928"/>
    <w:rsid w:val="004C371A"/>
    <w:rsid w:val="004C65A4"/>
    <w:rsid w:val="004D387B"/>
    <w:rsid w:val="004D4E22"/>
    <w:rsid w:val="004D75C7"/>
    <w:rsid w:val="004F20C0"/>
    <w:rsid w:val="004F3992"/>
    <w:rsid w:val="004F6D2A"/>
    <w:rsid w:val="00510478"/>
    <w:rsid w:val="005214E3"/>
    <w:rsid w:val="00522987"/>
    <w:rsid w:val="00527458"/>
    <w:rsid w:val="00530C54"/>
    <w:rsid w:val="00532C9B"/>
    <w:rsid w:val="00537B01"/>
    <w:rsid w:val="00540358"/>
    <w:rsid w:val="00545355"/>
    <w:rsid w:val="00554660"/>
    <w:rsid w:val="0056012C"/>
    <w:rsid w:val="005620D3"/>
    <w:rsid w:val="00562737"/>
    <w:rsid w:val="00566861"/>
    <w:rsid w:val="00573259"/>
    <w:rsid w:val="00574749"/>
    <w:rsid w:val="005758FC"/>
    <w:rsid w:val="00575909"/>
    <w:rsid w:val="0058133E"/>
    <w:rsid w:val="005850B8"/>
    <w:rsid w:val="00587025"/>
    <w:rsid w:val="00593064"/>
    <w:rsid w:val="00597CE5"/>
    <w:rsid w:val="00597ED5"/>
    <w:rsid w:val="005A1026"/>
    <w:rsid w:val="005A3EDE"/>
    <w:rsid w:val="005A4AC4"/>
    <w:rsid w:val="005B3A4B"/>
    <w:rsid w:val="005C29C2"/>
    <w:rsid w:val="005C6679"/>
    <w:rsid w:val="005D5CB5"/>
    <w:rsid w:val="005E1D41"/>
    <w:rsid w:val="005F0C9A"/>
    <w:rsid w:val="005F7B3A"/>
    <w:rsid w:val="00606A45"/>
    <w:rsid w:val="006159CD"/>
    <w:rsid w:val="006226D6"/>
    <w:rsid w:val="0062624B"/>
    <w:rsid w:val="006346B1"/>
    <w:rsid w:val="006459FB"/>
    <w:rsid w:val="00650EAB"/>
    <w:rsid w:val="00671760"/>
    <w:rsid w:val="00677681"/>
    <w:rsid w:val="00677D23"/>
    <w:rsid w:val="00680F67"/>
    <w:rsid w:val="006812AE"/>
    <w:rsid w:val="00690B82"/>
    <w:rsid w:val="00692393"/>
    <w:rsid w:val="00692553"/>
    <w:rsid w:val="0069545C"/>
    <w:rsid w:val="00696A1F"/>
    <w:rsid w:val="0069724A"/>
    <w:rsid w:val="006A51D9"/>
    <w:rsid w:val="006B265A"/>
    <w:rsid w:val="006B6961"/>
    <w:rsid w:val="006C7728"/>
    <w:rsid w:val="006D049D"/>
    <w:rsid w:val="006E1A6D"/>
    <w:rsid w:val="006E5151"/>
    <w:rsid w:val="006E51F0"/>
    <w:rsid w:val="006F020D"/>
    <w:rsid w:val="006F1EC0"/>
    <w:rsid w:val="006F42D5"/>
    <w:rsid w:val="006F4FB2"/>
    <w:rsid w:val="00701988"/>
    <w:rsid w:val="00703890"/>
    <w:rsid w:val="007260F2"/>
    <w:rsid w:val="00726598"/>
    <w:rsid w:val="007316DC"/>
    <w:rsid w:val="007340E4"/>
    <w:rsid w:val="00741EB8"/>
    <w:rsid w:val="007463F8"/>
    <w:rsid w:val="00750FB8"/>
    <w:rsid w:val="0075796A"/>
    <w:rsid w:val="00762F9B"/>
    <w:rsid w:val="00765D7C"/>
    <w:rsid w:val="00783F1E"/>
    <w:rsid w:val="00787EA5"/>
    <w:rsid w:val="007966D5"/>
    <w:rsid w:val="00797E01"/>
    <w:rsid w:val="007B1FFF"/>
    <w:rsid w:val="007B4E41"/>
    <w:rsid w:val="007B65CC"/>
    <w:rsid w:val="007D6F62"/>
    <w:rsid w:val="007F063B"/>
    <w:rsid w:val="007F46BE"/>
    <w:rsid w:val="007F4DB9"/>
    <w:rsid w:val="00807947"/>
    <w:rsid w:val="008116E8"/>
    <w:rsid w:val="00811CAA"/>
    <w:rsid w:val="008145C5"/>
    <w:rsid w:val="00822AA5"/>
    <w:rsid w:val="00832FEB"/>
    <w:rsid w:val="008340ED"/>
    <w:rsid w:val="00846CCD"/>
    <w:rsid w:val="0085016E"/>
    <w:rsid w:val="008557C9"/>
    <w:rsid w:val="008639D6"/>
    <w:rsid w:val="008650BE"/>
    <w:rsid w:val="008652A7"/>
    <w:rsid w:val="008710A9"/>
    <w:rsid w:val="00872644"/>
    <w:rsid w:val="008727A4"/>
    <w:rsid w:val="00882928"/>
    <w:rsid w:val="008842B9"/>
    <w:rsid w:val="008915EC"/>
    <w:rsid w:val="00891CD5"/>
    <w:rsid w:val="00894B36"/>
    <w:rsid w:val="00894CE6"/>
    <w:rsid w:val="00895440"/>
    <w:rsid w:val="00896E4D"/>
    <w:rsid w:val="00897A1D"/>
    <w:rsid w:val="008A5EA3"/>
    <w:rsid w:val="008A643E"/>
    <w:rsid w:val="008A72D9"/>
    <w:rsid w:val="008B0FE6"/>
    <w:rsid w:val="008B176D"/>
    <w:rsid w:val="008C1838"/>
    <w:rsid w:val="008C2B20"/>
    <w:rsid w:val="008C6B6E"/>
    <w:rsid w:val="008D3AF0"/>
    <w:rsid w:val="008D3BAA"/>
    <w:rsid w:val="008E2EE4"/>
    <w:rsid w:val="008F2BA8"/>
    <w:rsid w:val="00913596"/>
    <w:rsid w:val="009137B3"/>
    <w:rsid w:val="00915E90"/>
    <w:rsid w:val="00917B12"/>
    <w:rsid w:val="00923EC0"/>
    <w:rsid w:val="00927B80"/>
    <w:rsid w:val="00927F8A"/>
    <w:rsid w:val="00932AAD"/>
    <w:rsid w:val="00935264"/>
    <w:rsid w:val="00936915"/>
    <w:rsid w:val="00941DB0"/>
    <w:rsid w:val="00941FE2"/>
    <w:rsid w:val="009459BB"/>
    <w:rsid w:val="00956612"/>
    <w:rsid w:val="0095726E"/>
    <w:rsid w:val="0095726F"/>
    <w:rsid w:val="00957635"/>
    <w:rsid w:val="00961484"/>
    <w:rsid w:val="00973FFF"/>
    <w:rsid w:val="00975320"/>
    <w:rsid w:val="009759C8"/>
    <w:rsid w:val="00976098"/>
    <w:rsid w:val="00981798"/>
    <w:rsid w:val="009823C9"/>
    <w:rsid w:val="00983590"/>
    <w:rsid w:val="00986879"/>
    <w:rsid w:val="009A44EE"/>
    <w:rsid w:val="009A45C0"/>
    <w:rsid w:val="009B0059"/>
    <w:rsid w:val="009C27FD"/>
    <w:rsid w:val="009C5272"/>
    <w:rsid w:val="009D4D32"/>
    <w:rsid w:val="009E060C"/>
    <w:rsid w:val="009F01E6"/>
    <w:rsid w:val="009F0771"/>
    <w:rsid w:val="009F3B00"/>
    <w:rsid w:val="009F58FC"/>
    <w:rsid w:val="009F70E6"/>
    <w:rsid w:val="00A00C26"/>
    <w:rsid w:val="00A04FE3"/>
    <w:rsid w:val="00A11FDC"/>
    <w:rsid w:val="00A16480"/>
    <w:rsid w:val="00A165D0"/>
    <w:rsid w:val="00A16BD7"/>
    <w:rsid w:val="00A2065B"/>
    <w:rsid w:val="00A335DA"/>
    <w:rsid w:val="00A454FD"/>
    <w:rsid w:val="00A50409"/>
    <w:rsid w:val="00A635BF"/>
    <w:rsid w:val="00A73D4A"/>
    <w:rsid w:val="00A75F88"/>
    <w:rsid w:val="00A77B22"/>
    <w:rsid w:val="00A81C75"/>
    <w:rsid w:val="00A84061"/>
    <w:rsid w:val="00A86353"/>
    <w:rsid w:val="00A871BC"/>
    <w:rsid w:val="00A95016"/>
    <w:rsid w:val="00A9607B"/>
    <w:rsid w:val="00A96EAE"/>
    <w:rsid w:val="00AA18F6"/>
    <w:rsid w:val="00AA1D9D"/>
    <w:rsid w:val="00AB2A16"/>
    <w:rsid w:val="00AD7CD1"/>
    <w:rsid w:val="00AE40E5"/>
    <w:rsid w:val="00AE44C8"/>
    <w:rsid w:val="00B02F48"/>
    <w:rsid w:val="00B03248"/>
    <w:rsid w:val="00B066A1"/>
    <w:rsid w:val="00B14CE0"/>
    <w:rsid w:val="00B241FA"/>
    <w:rsid w:val="00B2702D"/>
    <w:rsid w:val="00B40732"/>
    <w:rsid w:val="00B538BF"/>
    <w:rsid w:val="00B53DCC"/>
    <w:rsid w:val="00B57500"/>
    <w:rsid w:val="00B6181B"/>
    <w:rsid w:val="00B76CE1"/>
    <w:rsid w:val="00B77D10"/>
    <w:rsid w:val="00B87E60"/>
    <w:rsid w:val="00B90062"/>
    <w:rsid w:val="00B931F1"/>
    <w:rsid w:val="00B93B6A"/>
    <w:rsid w:val="00B960A0"/>
    <w:rsid w:val="00BB1F4B"/>
    <w:rsid w:val="00BB37EB"/>
    <w:rsid w:val="00BC376A"/>
    <w:rsid w:val="00BC590B"/>
    <w:rsid w:val="00BD38DA"/>
    <w:rsid w:val="00BD4D48"/>
    <w:rsid w:val="00BE0D81"/>
    <w:rsid w:val="00BE5F1B"/>
    <w:rsid w:val="00BF462F"/>
    <w:rsid w:val="00BF46EE"/>
    <w:rsid w:val="00C015FD"/>
    <w:rsid w:val="00C02492"/>
    <w:rsid w:val="00C14AE0"/>
    <w:rsid w:val="00C152E4"/>
    <w:rsid w:val="00C22D5C"/>
    <w:rsid w:val="00C238B9"/>
    <w:rsid w:val="00C2604F"/>
    <w:rsid w:val="00C27686"/>
    <w:rsid w:val="00C3386D"/>
    <w:rsid w:val="00C40E02"/>
    <w:rsid w:val="00C443E7"/>
    <w:rsid w:val="00C53904"/>
    <w:rsid w:val="00C612D8"/>
    <w:rsid w:val="00C76F11"/>
    <w:rsid w:val="00C86251"/>
    <w:rsid w:val="00C91B38"/>
    <w:rsid w:val="00C95083"/>
    <w:rsid w:val="00CA0829"/>
    <w:rsid w:val="00CA215E"/>
    <w:rsid w:val="00CA2A7A"/>
    <w:rsid w:val="00CC01D5"/>
    <w:rsid w:val="00CC0D27"/>
    <w:rsid w:val="00CC2F7E"/>
    <w:rsid w:val="00CC39DB"/>
    <w:rsid w:val="00CC44AA"/>
    <w:rsid w:val="00CC65DD"/>
    <w:rsid w:val="00CC7506"/>
    <w:rsid w:val="00CD0013"/>
    <w:rsid w:val="00CD24D3"/>
    <w:rsid w:val="00CD38BC"/>
    <w:rsid w:val="00CE19A3"/>
    <w:rsid w:val="00CE4316"/>
    <w:rsid w:val="00CE4E33"/>
    <w:rsid w:val="00CF24F7"/>
    <w:rsid w:val="00CF4A64"/>
    <w:rsid w:val="00CF5D1B"/>
    <w:rsid w:val="00CF60CF"/>
    <w:rsid w:val="00CF6974"/>
    <w:rsid w:val="00D012F1"/>
    <w:rsid w:val="00D03FE3"/>
    <w:rsid w:val="00D06C29"/>
    <w:rsid w:val="00D15353"/>
    <w:rsid w:val="00D2488B"/>
    <w:rsid w:val="00D30C76"/>
    <w:rsid w:val="00D3785F"/>
    <w:rsid w:val="00D42B21"/>
    <w:rsid w:val="00D43797"/>
    <w:rsid w:val="00D44CA3"/>
    <w:rsid w:val="00D45630"/>
    <w:rsid w:val="00D5048D"/>
    <w:rsid w:val="00D542FA"/>
    <w:rsid w:val="00D60C35"/>
    <w:rsid w:val="00D700B1"/>
    <w:rsid w:val="00D702DA"/>
    <w:rsid w:val="00D727C7"/>
    <w:rsid w:val="00D735A6"/>
    <w:rsid w:val="00D8097C"/>
    <w:rsid w:val="00DA461D"/>
    <w:rsid w:val="00DB32DB"/>
    <w:rsid w:val="00DB5EC9"/>
    <w:rsid w:val="00DC1C64"/>
    <w:rsid w:val="00DC59CC"/>
    <w:rsid w:val="00DD02E0"/>
    <w:rsid w:val="00DD2BBF"/>
    <w:rsid w:val="00DE3434"/>
    <w:rsid w:val="00DF06CF"/>
    <w:rsid w:val="00DF168C"/>
    <w:rsid w:val="00DF69E9"/>
    <w:rsid w:val="00E0281F"/>
    <w:rsid w:val="00E1537A"/>
    <w:rsid w:val="00E2168B"/>
    <w:rsid w:val="00E223C7"/>
    <w:rsid w:val="00E34370"/>
    <w:rsid w:val="00E41EB5"/>
    <w:rsid w:val="00E42F6F"/>
    <w:rsid w:val="00E548C7"/>
    <w:rsid w:val="00E57DB6"/>
    <w:rsid w:val="00E6723E"/>
    <w:rsid w:val="00E7107A"/>
    <w:rsid w:val="00E76133"/>
    <w:rsid w:val="00E7663C"/>
    <w:rsid w:val="00E947BF"/>
    <w:rsid w:val="00EA44A7"/>
    <w:rsid w:val="00EB0B34"/>
    <w:rsid w:val="00EC4AAC"/>
    <w:rsid w:val="00EC4D83"/>
    <w:rsid w:val="00EC7E5A"/>
    <w:rsid w:val="00ED1269"/>
    <w:rsid w:val="00ED6C83"/>
    <w:rsid w:val="00EE0C9C"/>
    <w:rsid w:val="00EF5168"/>
    <w:rsid w:val="00EF7709"/>
    <w:rsid w:val="00F0059E"/>
    <w:rsid w:val="00F0197B"/>
    <w:rsid w:val="00F118FD"/>
    <w:rsid w:val="00F15E04"/>
    <w:rsid w:val="00F15F07"/>
    <w:rsid w:val="00F21FBC"/>
    <w:rsid w:val="00F36CBD"/>
    <w:rsid w:val="00F40158"/>
    <w:rsid w:val="00F74A6E"/>
    <w:rsid w:val="00F765AE"/>
    <w:rsid w:val="00F945C2"/>
    <w:rsid w:val="00F95FDA"/>
    <w:rsid w:val="00FA1A96"/>
    <w:rsid w:val="00FB0A3D"/>
    <w:rsid w:val="00FB2BFE"/>
    <w:rsid w:val="00FB6E67"/>
    <w:rsid w:val="00FD3A58"/>
    <w:rsid w:val="00FD6097"/>
    <w:rsid w:val="00FF4307"/>
    <w:rsid w:val="00FF5025"/>
    <w:rsid w:val="00FF541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4929F6C"/>
  <w15:chartTrackingRefBased/>
  <w15:docId w15:val="{59F60FFD-450D-4329-925D-BDD1DF744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36915"/>
    <w:pPr>
      <w:spacing w:line="260" w:lineRule="atLeast"/>
      <w:jc w:val="both"/>
    </w:pPr>
    <w:rPr>
      <w:rFonts w:ascii="Palatino Linotype" w:hAnsi="Palatino Linotype"/>
      <w:noProof/>
      <w:color w:val="000000"/>
    </w:rPr>
  </w:style>
  <w:style w:type="paragraph" w:styleId="Titolo1">
    <w:name w:val="heading 1"/>
    <w:basedOn w:val="Normale"/>
    <w:link w:val="Titolo1Carattere"/>
    <w:uiPriority w:val="9"/>
    <w:qFormat/>
    <w:rsid w:val="00983590"/>
    <w:pPr>
      <w:spacing w:before="100" w:beforeAutospacing="1" w:after="100" w:afterAutospacing="1" w:line="240" w:lineRule="auto"/>
      <w:jc w:val="left"/>
      <w:outlineLvl w:val="0"/>
    </w:pPr>
    <w:rPr>
      <w:rFonts w:ascii="Times New Roman" w:eastAsia="Times New Roman" w:hAnsi="Times New Roman"/>
      <w:b/>
      <w:bCs/>
      <w:noProof w:val="0"/>
      <w:color w:val="auto"/>
      <w:kern w:val="36"/>
      <w:sz w:val="48"/>
      <w:szCs w:val="48"/>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next w:val="Normale"/>
    <w:qFormat/>
    <w:rsid w:val="00936915"/>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e"/>
    <w:qFormat/>
    <w:rsid w:val="00936915"/>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e"/>
    <w:qFormat/>
    <w:rsid w:val="00936915"/>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e"/>
    <w:next w:val="Normale"/>
    <w:qFormat/>
    <w:rsid w:val="00936915"/>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936915"/>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e"/>
    <w:qFormat/>
    <w:rsid w:val="00936915"/>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e"/>
    <w:qFormat/>
    <w:rsid w:val="00936915"/>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936915"/>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ellanormale"/>
    <w:uiPriority w:val="99"/>
    <w:rsid w:val="00677D23"/>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59"/>
    <w:rsid w:val="00936915"/>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rsid w:val="00936915"/>
    <w:pPr>
      <w:tabs>
        <w:tab w:val="center" w:pos="4153"/>
        <w:tab w:val="right" w:pos="8306"/>
      </w:tabs>
      <w:snapToGrid w:val="0"/>
      <w:spacing w:line="240" w:lineRule="atLeast"/>
    </w:pPr>
    <w:rPr>
      <w:szCs w:val="18"/>
    </w:rPr>
  </w:style>
  <w:style w:type="character" w:customStyle="1" w:styleId="PidipaginaCarattere">
    <w:name w:val="Piè di pagina Carattere"/>
    <w:link w:val="Pidipagina"/>
    <w:uiPriority w:val="99"/>
    <w:rsid w:val="00936915"/>
    <w:rPr>
      <w:rFonts w:ascii="Palatino Linotype" w:hAnsi="Palatino Linotype"/>
      <w:noProof/>
      <w:color w:val="000000"/>
      <w:szCs w:val="18"/>
    </w:rPr>
  </w:style>
  <w:style w:type="paragraph" w:styleId="Intestazione">
    <w:name w:val="header"/>
    <w:basedOn w:val="Normale"/>
    <w:link w:val="IntestazioneCarattere"/>
    <w:uiPriority w:val="99"/>
    <w:rsid w:val="00936915"/>
    <w:pPr>
      <w:pBdr>
        <w:bottom w:val="single" w:sz="6" w:space="1" w:color="auto"/>
      </w:pBdr>
      <w:tabs>
        <w:tab w:val="center" w:pos="4153"/>
        <w:tab w:val="right" w:pos="8306"/>
      </w:tabs>
      <w:snapToGrid w:val="0"/>
      <w:spacing w:line="240" w:lineRule="atLeast"/>
      <w:jc w:val="center"/>
    </w:pPr>
    <w:rPr>
      <w:szCs w:val="18"/>
    </w:rPr>
  </w:style>
  <w:style w:type="character" w:customStyle="1" w:styleId="IntestazioneCarattere">
    <w:name w:val="Intestazione Carattere"/>
    <w:link w:val="Intestazione"/>
    <w:uiPriority w:val="99"/>
    <w:rsid w:val="00936915"/>
    <w:rPr>
      <w:rFonts w:ascii="Palatino Linotype" w:hAnsi="Palatino Linotype"/>
      <w:noProof/>
      <w:color w:val="000000"/>
      <w:szCs w:val="18"/>
    </w:rPr>
  </w:style>
  <w:style w:type="paragraph" w:customStyle="1" w:styleId="MDPIheaderjournallogo">
    <w:name w:val="MDPI_header_journal_logo"/>
    <w:qFormat/>
    <w:rsid w:val="00936915"/>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936915"/>
    <w:pPr>
      <w:ind w:firstLine="0"/>
    </w:pPr>
  </w:style>
  <w:style w:type="paragraph" w:customStyle="1" w:styleId="MDPI31text">
    <w:name w:val="MDPI_3.1_text"/>
    <w:qFormat/>
    <w:rsid w:val="00E223C7"/>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936915"/>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936915"/>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936915"/>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5A3EDE"/>
    <w:pPr>
      <w:numPr>
        <w:numId w:val="21"/>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5A3EDE"/>
    <w:pPr>
      <w:numPr>
        <w:numId w:val="22"/>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936915"/>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936915"/>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936915"/>
    <w:pPr>
      <w:adjustRightInd w:val="0"/>
      <w:snapToGrid w:val="0"/>
      <w:spacing w:before="240" w:after="120"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4D75C7"/>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936915"/>
    <w:pPr>
      <w:adjustRightInd w:val="0"/>
      <w:snapToGrid w:val="0"/>
      <w:spacing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936915"/>
    <w:pPr>
      <w:adjustRightInd w:val="0"/>
      <w:snapToGrid w:val="0"/>
      <w:spacing w:before="120" w:after="240" w:line="228" w:lineRule="auto"/>
      <w:ind w:left="2608"/>
      <w:jc w:val="both"/>
    </w:pPr>
    <w:rPr>
      <w:rFonts w:ascii="Palatino Linotype" w:eastAsia="Times New Roman" w:hAnsi="Palatino Linotype"/>
      <w:color w:val="000000"/>
      <w:sz w:val="18"/>
      <w:lang w:eastAsia="de-DE" w:bidi="en-US"/>
    </w:rPr>
  </w:style>
  <w:style w:type="paragraph" w:customStyle="1" w:styleId="MDPI52figure">
    <w:name w:val="MDPI_5.2_figure"/>
    <w:qFormat/>
    <w:rsid w:val="00936915"/>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23heading3">
    <w:name w:val="MDPI_2.3_heading3"/>
    <w:qFormat/>
    <w:rsid w:val="00936915"/>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936915"/>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936915"/>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532C9B"/>
    <w:pPr>
      <w:numPr>
        <w:numId w:val="23"/>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Testofumetto">
    <w:name w:val="Balloon Text"/>
    <w:basedOn w:val="Normale"/>
    <w:link w:val="TestofumettoCarattere"/>
    <w:uiPriority w:val="99"/>
    <w:rsid w:val="00936915"/>
    <w:rPr>
      <w:rFonts w:cs="Tahoma"/>
      <w:szCs w:val="18"/>
    </w:rPr>
  </w:style>
  <w:style w:type="character" w:customStyle="1" w:styleId="TestofumettoCarattere">
    <w:name w:val="Testo fumetto Carattere"/>
    <w:link w:val="Testofumetto"/>
    <w:uiPriority w:val="99"/>
    <w:rsid w:val="00936915"/>
    <w:rPr>
      <w:rFonts w:ascii="Palatino Linotype" w:hAnsi="Palatino Linotype" w:cs="Tahoma"/>
      <w:noProof/>
      <w:color w:val="000000"/>
      <w:szCs w:val="18"/>
    </w:rPr>
  </w:style>
  <w:style w:type="character" w:styleId="Numeroriga">
    <w:name w:val="line number"/>
    <w:uiPriority w:val="99"/>
    <w:rsid w:val="00295B7B"/>
    <w:rPr>
      <w:rFonts w:ascii="Palatino Linotype" w:hAnsi="Palatino Linotype"/>
      <w:sz w:val="16"/>
    </w:rPr>
  </w:style>
  <w:style w:type="table" w:customStyle="1" w:styleId="MDPI41threelinetable">
    <w:name w:val="MDPI_4.1_three_line_table"/>
    <w:basedOn w:val="Tabellanormale"/>
    <w:uiPriority w:val="99"/>
    <w:rsid w:val="00936915"/>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Collegamentoipertestuale">
    <w:name w:val="Hyperlink"/>
    <w:uiPriority w:val="99"/>
    <w:rsid w:val="00936915"/>
    <w:rPr>
      <w:color w:val="0000FF"/>
      <w:u w:val="single"/>
    </w:rPr>
  </w:style>
  <w:style w:type="character" w:customStyle="1" w:styleId="Menzionenonrisolta1">
    <w:name w:val="Menzione non risolta1"/>
    <w:uiPriority w:val="99"/>
    <w:semiHidden/>
    <w:unhideWhenUsed/>
    <w:rsid w:val="00B6181B"/>
    <w:rPr>
      <w:color w:val="605E5C"/>
      <w:shd w:val="clear" w:color="auto" w:fill="E1DFDD"/>
    </w:rPr>
  </w:style>
  <w:style w:type="table" w:styleId="Tabellasemplice4">
    <w:name w:val="Plain Table 4"/>
    <w:basedOn w:val="Tabellanormale"/>
    <w:uiPriority w:val="44"/>
    <w:rsid w:val="0059306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34textspacebefore">
    <w:name w:val="MDPI_3.4_text_space_before"/>
    <w:qFormat/>
    <w:rsid w:val="00936915"/>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81theorem">
    <w:name w:val="MDPI_8.1_theorem"/>
    <w:qFormat/>
    <w:rsid w:val="00936915"/>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936915"/>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61Citation">
    <w:name w:val="MDPI_6.1_Citation"/>
    <w:qFormat/>
    <w:rsid w:val="00936915"/>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936915"/>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936915"/>
    <w:pPr>
      <w:adjustRightInd w:val="0"/>
      <w:snapToGrid w:val="0"/>
      <w:spacing w:before="240" w:line="228" w:lineRule="auto"/>
      <w:jc w:val="both"/>
    </w:pPr>
    <w:rPr>
      <w:rFonts w:ascii="Palatino Linotype" w:hAnsi="Palatino Linotype"/>
      <w:snapToGrid w:val="0"/>
      <w:color w:val="000000"/>
      <w:sz w:val="18"/>
      <w:lang w:eastAsia="en-US" w:bidi="en-US"/>
    </w:rPr>
  </w:style>
  <w:style w:type="paragraph" w:customStyle="1" w:styleId="MDPI15academiceditor">
    <w:name w:val="MDPI_1.5_academic_editor"/>
    <w:qFormat/>
    <w:rsid w:val="00A00C26"/>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936915"/>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936915"/>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936915"/>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302CEB"/>
    <w:pPr>
      <w:adjustRightInd w:val="0"/>
      <w:snapToGrid w:val="0"/>
      <w:spacing w:before="60" w:line="240" w:lineRule="atLeast"/>
      <w:ind w:right="113"/>
      <w:jc w:val="both"/>
    </w:pPr>
    <w:rPr>
      <w:rFonts w:ascii="Palatino Linotype" w:eastAsia="Times New Roman" w:hAnsi="Palatino Linotype"/>
      <w:noProof/>
      <w:snapToGrid w:val="0"/>
      <w:color w:val="000000"/>
      <w:sz w:val="14"/>
      <w:lang w:val="en-GB" w:eastAsia="en-GB"/>
    </w:rPr>
  </w:style>
  <w:style w:type="paragraph" w:customStyle="1" w:styleId="MDPI73CopyrightImage">
    <w:name w:val="MDPI_7.3_CopyrightImage"/>
    <w:rsid w:val="00936915"/>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936915"/>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936915"/>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936915"/>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936915"/>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936915"/>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936915"/>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ellanormale"/>
    <w:uiPriority w:val="99"/>
    <w:rsid w:val="00936915"/>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936915"/>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936915"/>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936915"/>
  </w:style>
  <w:style w:type="paragraph" w:styleId="Bibliografia">
    <w:name w:val="Bibliography"/>
    <w:basedOn w:val="Normale"/>
    <w:next w:val="Normale"/>
    <w:uiPriority w:val="37"/>
    <w:unhideWhenUsed/>
    <w:rsid w:val="00936915"/>
  </w:style>
  <w:style w:type="paragraph" w:styleId="Corpotesto">
    <w:name w:val="Body Text"/>
    <w:link w:val="CorpotestoCarattere"/>
    <w:rsid w:val="00936915"/>
    <w:pPr>
      <w:spacing w:after="120" w:line="340" w:lineRule="atLeast"/>
      <w:jc w:val="both"/>
    </w:pPr>
    <w:rPr>
      <w:rFonts w:ascii="Palatino Linotype" w:hAnsi="Palatino Linotype"/>
      <w:color w:val="000000"/>
      <w:sz w:val="24"/>
      <w:lang w:eastAsia="de-DE"/>
    </w:rPr>
  </w:style>
  <w:style w:type="character" w:customStyle="1" w:styleId="CorpotestoCarattere">
    <w:name w:val="Corpo testo Carattere"/>
    <w:link w:val="Corpotesto"/>
    <w:rsid w:val="00936915"/>
    <w:rPr>
      <w:rFonts w:ascii="Palatino Linotype" w:hAnsi="Palatino Linotype"/>
      <w:color w:val="000000"/>
      <w:sz w:val="24"/>
      <w:lang w:eastAsia="de-DE"/>
    </w:rPr>
  </w:style>
  <w:style w:type="character" w:styleId="Rimandocommento">
    <w:name w:val="annotation reference"/>
    <w:rsid w:val="00936915"/>
    <w:rPr>
      <w:sz w:val="21"/>
      <w:szCs w:val="21"/>
    </w:rPr>
  </w:style>
  <w:style w:type="paragraph" w:styleId="Testocommento">
    <w:name w:val="annotation text"/>
    <w:basedOn w:val="Normale"/>
    <w:link w:val="TestocommentoCarattere"/>
    <w:rsid w:val="00936915"/>
  </w:style>
  <w:style w:type="character" w:customStyle="1" w:styleId="TestocommentoCarattere">
    <w:name w:val="Testo commento Carattere"/>
    <w:link w:val="Testocommento"/>
    <w:rsid w:val="00936915"/>
    <w:rPr>
      <w:rFonts w:ascii="Palatino Linotype" w:hAnsi="Palatino Linotype"/>
      <w:noProof/>
      <w:color w:val="000000"/>
    </w:rPr>
  </w:style>
  <w:style w:type="paragraph" w:styleId="Soggettocommento">
    <w:name w:val="annotation subject"/>
    <w:basedOn w:val="Testocommento"/>
    <w:next w:val="Testocommento"/>
    <w:link w:val="SoggettocommentoCarattere"/>
    <w:rsid w:val="00936915"/>
    <w:rPr>
      <w:b/>
      <w:bCs/>
    </w:rPr>
  </w:style>
  <w:style w:type="character" w:customStyle="1" w:styleId="SoggettocommentoCarattere">
    <w:name w:val="Soggetto commento Carattere"/>
    <w:link w:val="Soggettocommento"/>
    <w:rsid w:val="00936915"/>
    <w:rPr>
      <w:rFonts w:ascii="Palatino Linotype" w:hAnsi="Palatino Linotype"/>
      <w:b/>
      <w:bCs/>
      <w:noProof/>
      <w:color w:val="000000"/>
    </w:rPr>
  </w:style>
  <w:style w:type="character" w:styleId="Rimandonotadichiusura">
    <w:name w:val="endnote reference"/>
    <w:rsid w:val="00936915"/>
    <w:rPr>
      <w:vertAlign w:val="superscript"/>
    </w:rPr>
  </w:style>
  <w:style w:type="paragraph" w:styleId="Testonotadichiusura">
    <w:name w:val="endnote text"/>
    <w:basedOn w:val="Normale"/>
    <w:link w:val="TestonotadichiusuraCarattere"/>
    <w:semiHidden/>
    <w:unhideWhenUsed/>
    <w:rsid w:val="00936915"/>
    <w:pPr>
      <w:spacing w:line="240" w:lineRule="auto"/>
    </w:pPr>
  </w:style>
  <w:style w:type="character" w:customStyle="1" w:styleId="TestonotadichiusuraCarattere">
    <w:name w:val="Testo nota di chiusura Carattere"/>
    <w:link w:val="Testonotadichiusura"/>
    <w:semiHidden/>
    <w:rsid w:val="00936915"/>
    <w:rPr>
      <w:rFonts w:ascii="Palatino Linotype" w:hAnsi="Palatino Linotype"/>
      <w:noProof/>
      <w:color w:val="000000"/>
    </w:rPr>
  </w:style>
  <w:style w:type="character" w:styleId="Collegamentovisitato">
    <w:name w:val="FollowedHyperlink"/>
    <w:rsid w:val="00936915"/>
    <w:rPr>
      <w:color w:val="954F72"/>
      <w:u w:val="single"/>
    </w:rPr>
  </w:style>
  <w:style w:type="paragraph" w:styleId="Testonotaapidipagina">
    <w:name w:val="footnote text"/>
    <w:basedOn w:val="Normale"/>
    <w:link w:val="TestonotaapidipaginaCarattere"/>
    <w:semiHidden/>
    <w:unhideWhenUsed/>
    <w:rsid w:val="00936915"/>
    <w:pPr>
      <w:spacing w:line="240" w:lineRule="auto"/>
    </w:pPr>
  </w:style>
  <w:style w:type="character" w:customStyle="1" w:styleId="TestonotaapidipaginaCarattere">
    <w:name w:val="Testo nota a piè di pagina Carattere"/>
    <w:link w:val="Testonotaapidipagina"/>
    <w:semiHidden/>
    <w:rsid w:val="00936915"/>
    <w:rPr>
      <w:rFonts w:ascii="Palatino Linotype" w:hAnsi="Palatino Linotype"/>
      <w:noProof/>
      <w:color w:val="000000"/>
    </w:rPr>
  </w:style>
  <w:style w:type="paragraph" w:styleId="NormaleWeb">
    <w:name w:val="Normal (Web)"/>
    <w:basedOn w:val="Normale"/>
    <w:uiPriority w:val="99"/>
    <w:rsid w:val="00936915"/>
    <w:rPr>
      <w:szCs w:val="24"/>
    </w:rPr>
  </w:style>
  <w:style w:type="paragraph" w:customStyle="1" w:styleId="MsoFootnoteText0">
    <w:name w:val="MsoFootnoteText"/>
    <w:basedOn w:val="NormaleWeb"/>
    <w:qFormat/>
    <w:rsid w:val="00936915"/>
    <w:rPr>
      <w:rFonts w:ascii="Times New Roman" w:hAnsi="Times New Roman"/>
    </w:rPr>
  </w:style>
  <w:style w:type="character" w:styleId="Numeropagina">
    <w:name w:val="page number"/>
    <w:rsid w:val="00936915"/>
  </w:style>
  <w:style w:type="character" w:styleId="Testosegnaposto">
    <w:name w:val="Placeholder Text"/>
    <w:uiPriority w:val="99"/>
    <w:semiHidden/>
    <w:rsid w:val="00936915"/>
    <w:rPr>
      <w:color w:val="808080"/>
    </w:rPr>
  </w:style>
  <w:style w:type="paragraph" w:customStyle="1" w:styleId="MDPI71FootNotes">
    <w:name w:val="MDPI_7.1_FootNotes"/>
    <w:qFormat/>
    <w:rsid w:val="00A9607B"/>
    <w:pPr>
      <w:numPr>
        <w:numId w:val="20"/>
      </w:numPr>
      <w:adjustRightInd w:val="0"/>
      <w:snapToGrid w:val="0"/>
      <w:spacing w:line="228" w:lineRule="auto"/>
    </w:pPr>
    <w:rPr>
      <w:rFonts w:ascii="Palatino Linotype" w:eastAsiaTheme="minorEastAsia" w:hAnsi="Palatino Linotype"/>
      <w:noProof/>
      <w:color w:val="000000"/>
      <w:sz w:val="18"/>
    </w:rPr>
  </w:style>
  <w:style w:type="paragraph" w:styleId="Paragrafoelenco">
    <w:name w:val="List Paragraph"/>
    <w:basedOn w:val="Normale"/>
    <w:uiPriority w:val="34"/>
    <w:qFormat/>
    <w:rsid w:val="00EE0C9C"/>
    <w:pPr>
      <w:ind w:left="720"/>
      <w:contextualSpacing/>
    </w:pPr>
  </w:style>
  <w:style w:type="paragraph" w:styleId="Nessunaspaziatura">
    <w:name w:val="No Spacing"/>
    <w:uiPriority w:val="1"/>
    <w:qFormat/>
    <w:rsid w:val="00316ED6"/>
    <w:rPr>
      <w:rFonts w:asciiTheme="minorHAnsi" w:eastAsiaTheme="minorHAnsi" w:hAnsiTheme="minorHAnsi" w:cstheme="minorBidi"/>
      <w:sz w:val="22"/>
      <w:szCs w:val="22"/>
      <w:lang w:val="it-IT" w:eastAsia="en-US"/>
    </w:rPr>
  </w:style>
  <w:style w:type="table" w:styleId="Sfondochiaro">
    <w:name w:val="Light Shading"/>
    <w:basedOn w:val="Tabellanormale"/>
    <w:uiPriority w:val="60"/>
    <w:rsid w:val="003C0524"/>
    <w:rPr>
      <w:rFonts w:asciiTheme="minorHAnsi" w:eastAsiaTheme="minorHAnsi" w:hAnsiTheme="minorHAnsi" w:cstheme="minorBidi"/>
      <w:color w:val="000000" w:themeColor="text1" w:themeShade="BF"/>
      <w:sz w:val="22"/>
      <w:szCs w:val="22"/>
      <w:lang w:val="it-IT"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one">
    <w:name w:val="Revision"/>
    <w:hidden/>
    <w:uiPriority w:val="99"/>
    <w:semiHidden/>
    <w:rsid w:val="008B176D"/>
    <w:rPr>
      <w:rFonts w:ascii="Palatino Linotype" w:hAnsi="Palatino Linotype"/>
      <w:noProof/>
      <w:color w:val="000000"/>
    </w:rPr>
  </w:style>
  <w:style w:type="character" w:customStyle="1" w:styleId="Menzionenonrisolta2">
    <w:name w:val="Menzione non risolta2"/>
    <w:basedOn w:val="Carpredefinitoparagrafo"/>
    <w:uiPriority w:val="99"/>
    <w:semiHidden/>
    <w:unhideWhenUsed/>
    <w:rsid w:val="008B176D"/>
    <w:rPr>
      <w:color w:val="605E5C"/>
      <w:shd w:val="clear" w:color="auto" w:fill="E1DFDD"/>
    </w:rPr>
  </w:style>
  <w:style w:type="character" w:styleId="Enfasigrassetto">
    <w:name w:val="Strong"/>
    <w:basedOn w:val="Carpredefinitoparagrafo"/>
    <w:uiPriority w:val="22"/>
    <w:qFormat/>
    <w:rsid w:val="00383A0D"/>
    <w:rPr>
      <w:b/>
      <w:bCs/>
    </w:rPr>
  </w:style>
  <w:style w:type="character" w:customStyle="1" w:styleId="ref-lnk">
    <w:name w:val="ref-lnk"/>
    <w:basedOn w:val="Carpredefinitoparagrafo"/>
    <w:rsid w:val="005620D3"/>
  </w:style>
  <w:style w:type="character" w:customStyle="1" w:styleId="off-screen">
    <w:name w:val="off-screen"/>
    <w:basedOn w:val="Carpredefinitoparagrafo"/>
    <w:rsid w:val="005620D3"/>
  </w:style>
  <w:style w:type="character" w:customStyle="1" w:styleId="Menzionenonrisolta3">
    <w:name w:val="Menzione non risolta3"/>
    <w:basedOn w:val="Carpredefinitoparagrafo"/>
    <w:uiPriority w:val="99"/>
    <w:semiHidden/>
    <w:unhideWhenUsed/>
    <w:rsid w:val="009F3B00"/>
    <w:rPr>
      <w:color w:val="605E5C"/>
      <w:shd w:val="clear" w:color="auto" w:fill="E1DFDD"/>
    </w:rPr>
  </w:style>
  <w:style w:type="paragraph" w:customStyle="1" w:styleId="pf0">
    <w:name w:val="pf0"/>
    <w:basedOn w:val="Normale"/>
    <w:rsid w:val="00B2702D"/>
    <w:pPr>
      <w:spacing w:before="100" w:beforeAutospacing="1" w:after="100" w:afterAutospacing="1" w:line="240" w:lineRule="auto"/>
      <w:jc w:val="left"/>
    </w:pPr>
    <w:rPr>
      <w:rFonts w:ascii="Times New Roman" w:eastAsia="Times New Roman" w:hAnsi="Times New Roman"/>
      <w:noProof w:val="0"/>
      <w:color w:val="auto"/>
      <w:sz w:val="24"/>
      <w:szCs w:val="24"/>
      <w:lang w:val="it-IT" w:eastAsia="it-IT"/>
    </w:rPr>
  </w:style>
  <w:style w:type="character" w:customStyle="1" w:styleId="cf01">
    <w:name w:val="cf01"/>
    <w:basedOn w:val="Carpredefinitoparagrafo"/>
    <w:rsid w:val="00B2702D"/>
    <w:rPr>
      <w:rFonts w:ascii="Segoe UI" w:hAnsi="Segoe UI" w:cs="Segoe UI" w:hint="default"/>
      <w:color w:val="212121"/>
      <w:sz w:val="18"/>
      <w:szCs w:val="18"/>
      <w:shd w:val="clear" w:color="auto" w:fill="FFFFFF"/>
    </w:rPr>
  </w:style>
  <w:style w:type="character" w:customStyle="1" w:styleId="cf11">
    <w:name w:val="cf11"/>
    <w:basedOn w:val="Carpredefinitoparagrafo"/>
    <w:rsid w:val="00B2702D"/>
    <w:rPr>
      <w:rFonts w:ascii="Segoe UI" w:hAnsi="Segoe UI" w:cs="Segoe UI" w:hint="default"/>
      <w:sz w:val="18"/>
      <w:szCs w:val="18"/>
    </w:rPr>
  </w:style>
  <w:style w:type="character" w:customStyle="1" w:styleId="Titolo1Carattere">
    <w:name w:val="Titolo 1 Carattere"/>
    <w:basedOn w:val="Carpredefinitoparagrafo"/>
    <w:link w:val="Titolo1"/>
    <w:uiPriority w:val="9"/>
    <w:rsid w:val="00983590"/>
    <w:rPr>
      <w:rFonts w:ascii="Times New Roman" w:eastAsia="Times New Roman" w:hAnsi="Times New Roman"/>
      <w:b/>
      <w:bCs/>
      <w:kern w:val="36"/>
      <w:sz w:val="48"/>
      <w:szCs w:val="48"/>
      <w:lang w:val="it-IT" w:eastAsia="it-IT"/>
    </w:rPr>
  </w:style>
  <w:style w:type="paragraph" w:customStyle="1" w:styleId="Default">
    <w:name w:val="Default"/>
    <w:rsid w:val="0010374B"/>
    <w:pPr>
      <w:autoSpaceDE w:val="0"/>
      <w:autoSpaceDN w:val="0"/>
      <w:adjustRightInd w:val="0"/>
    </w:pPr>
    <w:rPr>
      <w:rFonts w:ascii="Arial Narrow" w:eastAsiaTheme="minorHAnsi" w:hAnsi="Arial Narrow" w:cs="Arial Narrow"/>
      <w:color w:val="000000"/>
      <w:sz w:val="24"/>
      <w:szCs w:val="24"/>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7636389">
      <w:bodyDiv w:val="1"/>
      <w:marLeft w:val="0"/>
      <w:marRight w:val="0"/>
      <w:marTop w:val="0"/>
      <w:marBottom w:val="0"/>
      <w:divBdr>
        <w:top w:val="none" w:sz="0" w:space="0" w:color="auto"/>
        <w:left w:val="none" w:sz="0" w:space="0" w:color="auto"/>
        <w:bottom w:val="none" w:sz="0" w:space="0" w:color="auto"/>
        <w:right w:val="none" w:sz="0" w:space="0" w:color="auto"/>
      </w:divBdr>
    </w:div>
    <w:div w:id="817191468">
      <w:bodyDiv w:val="1"/>
      <w:marLeft w:val="0"/>
      <w:marRight w:val="0"/>
      <w:marTop w:val="0"/>
      <w:marBottom w:val="0"/>
      <w:divBdr>
        <w:top w:val="none" w:sz="0" w:space="0" w:color="auto"/>
        <w:left w:val="none" w:sz="0" w:space="0" w:color="auto"/>
        <w:bottom w:val="none" w:sz="0" w:space="0" w:color="auto"/>
        <w:right w:val="none" w:sz="0" w:space="0" w:color="auto"/>
      </w:divBdr>
    </w:div>
    <w:div w:id="848954052">
      <w:bodyDiv w:val="1"/>
      <w:marLeft w:val="0"/>
      <w:marRight w:val="0"/>
      <w:marTop w:val="0"/>
      <w:marBottom w:val="0"/>
      <w:divBdr>
        <w:top w:val="none" w:sz="0" w:space="0" w:color="auto"/>
        <w:left w:val="none" w:sz="0" w:space="0" w:color="auto"/>
        <w:bottom w:val="none" w:sz="0" w:space="0" w:color="auto"/>
        <w:right w:val="none" w:sz="0" w:space="0" w:color="auto"/>
      </w:divBdr>
    </w:div>
    <w:div w:id="1042904211">
      <w:bodyDiv w:val="1"/>
      <w:marLeft w:val="0"/>
      <w:marRight w:val="0"/>
      <w:marTop w:val="0"/>
      <w:marBottom w:val="0"/>
      <w:divBdr>
        <w:top w:val="none" w:sz="0" w:space="0" w:color="auto"/>
        <w:left w:val="none" w:sz="0" w:space="0" w:color="auto"/>
        <w:bottom w:val="none" w:sz="0" w:space="0" w:color="auto"/>
        <w:right w:val="none" w:sz="0" w:space="0" w:color="auto"/>
      </w:divBdr>
    </w:div>
    <w:div w:id="1458717052">
      <w:bodyDiv w:val="1"/>
      <w:marLeft w:val="0"/>
      <w:marRight w:val="0"/>
      <w:marTop w:val="0"/>
      <w:marBottom w:val="0"/>
      <w:divBdr>
        <w:top w:val="none" w:sz="0" w:space="0" w:color="auto"/>
        <w:left w:val="none" w:sz="0" w:space="0" w:color="auto"/>
        <w:bottom w:val="none" w:sz="0" w:space="0" w:color="auto"/>
        <w:right w:val="none" w:sz="0" w:space="0" w:color="auto"/>
      </w:divBdr>
    </w:div>
    <w:div w:id="1719090885">
      <w:bodyDiv w:val="1"/>
      <w:marLeft w:val="0"/>
      <w:marRight w:val="0"/>
      <w:marTop w:val="0"/>
      <w:marBottom w:val="0"/>
      <w:divBdr>
        <w:top w:val="none" w:sz="0" w:space="0" w:color="auto"/>
        <w:left w:val="none" w:sz="0" w:space="0" w:color="auto"/>
        <w:bottom w:val="none" w:sz="0" w:space="0" w:color="auto"/>
        <w:right w:val="none" w:sz="0" w:space="0" w:color="auto"/>
      </w:divBdr>
    </w:div>
    <w:div w:id="1990015806">
      <w:bodyDiv w:val="1"/>
      <w:marLeft w:val="0"/>
      <w:marRight w:val="0"/>
      <w:marTop w:val="0"/>
      <w:marBottom w:val="0"/>
      <w:divBdr>
        <w:top w:val="none" w:sz="0" w:space="0" w:color="auto"/>
        <w:left w:val="none" w:sz="0" w:space="0" w:color="auto"/>
        <w:bottom w:val="none" w:sz="0" w:space="0" w:color="auto"/>
        <w:right w:val="none" w:sz="0" w:space="0" w:color="auto"/>
      </w:divBdr>
    </w:div>
    <w:div w:id="2065635119">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laura.micheli@uniroma2.it" TargetMode="External"/><Relationship Id="rId14" Type="http://schemas.openxmlformats.org/officeDocument/2006/relationships/image" Target="media/image6.jpeg"/></Relationships>
</file>

<file path=word/_rels/header3.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cco\Downloads\chemosensor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846BAFE-32CD-4FEF-B2BF-CE4BB759474B}">
  <we:reference id="wa200000368" version="1.0.0.0" store="en-US" storeType="OMEX"/>
  <we:alternateReferences>
    <we:reference id="WA200000368" version="1.0.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F9394D-3D7E-4907-9BC6-26564E8D7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chemosensors-template</Template>
  <TotalTime>1</TotalTime>
  <Pages>12</Pages>
  <Words>15571</Words>
  <Characters>88134</Characters>
  <Application>Microsoft Office Word</Application>
  <DocSecurity>0</DocSecurity>
  <Lines>12590</Lines>
  <Paragraphs>7977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Type of the Paper (Article</vt:lpstr>
      <vt:lpstr>Type of the Paper (Article</vt:lpstr>
    </vt:vector>
  </TitlesOfParts>
  <Company/>
  <LinksUpToDate>false</LinksUpToDate>
  <CharactersWithSpaces>95728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Cozzi Loredana</dc:creator>
  <cp:keywords/>
  <dc:description/>
  <cp:lastModifiedBy>Laura Micheli</cp:lastModifiedBy>
  <cp:revision>2</cp:revision>
  <cp:lastPrinted>2024-06-26T06:58:00Z</cp:lastPrinted>
  <dcterms:created xsi:type="dcterms:W3CDTF">2024-08-17T09:21:00Z</dcterms:created>
  <dcterms:modified xsi:type="dcterms:W3CDTF">2024-08-17T09:21:00Z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22f692e9dbffe7eefe141eb8b0d9a7bec665e5c1eac74b85f4026ac7eb155f54</vt:lpwstr>
  </property>
  <property fmtid="{D5CDD505-2E9C-101B-9397-08002B2CF9AE}" pid="3" name="ZOTERO_PREF_1">
    <vt:lpwstr>&lt;data data-version="3" zotero-version="6.0.36"&gt;&lt;session id="q4xV4yM9"/&gt;&lt;style id="http://www.zotero.org/styles/talanta" hasBibliography="1" bibliographyStyleHasBeenSet="1"/&gt;&lt;prefs&gt;&lt;pref name="fieldType" value="Field"/&gt;&lt;/prefs&gt;&lt;/data&gt;</vt:lpwstr>
  </property>
</Properties>
</file>