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8CD871" w14:textId="77777777" w:rsidR="00786E2A" w:rsidRDefault="00786E2A" w:rsidP="00C41626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 w:themeColor="text1"/>
          <w:sz w:val="28"/>
          <w:szCs w:val="28"/>
          <w:lang w:eastAsia="it-IT"/>
        </w:rPr>
      </w:pPr>
      <w:r w:rsidRPr="00786E2A">
        <w:rPr>
          <w:rFonts w:ascii="Calibri" w:eastAsia="Times New Roman" w:hAnsi="Calibri" w:cs="Calibri"/>
          <w:b/>
          <w:bCs/>
          <w:color w:val="000000" w:themeColor="text1"/>
          <w:sz w:val="28"/>
          <w:szCs w:val="28"/>
          <w:lang w:eastAsia="it-IT"/>
        </w:rPr>
        <w:t>SORVEGLIANZA</w:t>
      </w:r>
      <w:r w:rsidRPr="00C41626">
        <w:rPr>
          <w:rFonts w:ascii="Calibri" w:eastAsia="Times New Roman" w:hAnsi="Calibri" w:cs="Calibri"/>
          <w:b/>
          <w:bCs/>
          <w:color w:val="000000" w:themeColor="text1"/>
          <w:sz w:val="28"/>
          <w:szCs w:val="28"/>
          <w:lang w:eastAsia="it-IT"/>
        </w:rPr>
        <w:t xml:space="preserve"> DEI</w:t>
      </w:r>
      <w:r w:rsidRPr="00786E2A">
        <w:rPr>
          <w:rFonts w:ascii="Calibri" w:eastAsia="Times New Roman" w:hAnsi="Calibri" w:cs="Calibri"/>
          <w:b/>
          <w:bCs/>
          <w:color w:val="000000" w:themeColor="text1"/>
          <w:sz w:val="28"/>
          <w:szCs w:val="28"/>
          <w:lang w:eastAsia="it-IT"/>
        </w:rPr>
        <w:t xml:space="preserve"> CRE </w:t>
      </w:r>
      <w:r w:rsidRPr="00C41626">
        <w:rPr>
          <w:rFonts w:ascii="Calibri" w:eastAsia="Times New Roman" w:hAnsi="Calibri" w:cs="Calibri"/>
          <w:b/>
          <w:bCs/>
          <w:color w:val="000000" w:themeColor="text1"/>
          <w:sz w:val="28"/>
          <w:szCs w:val="28"/>
          <w:lang w:eastAsia="it-IT"/>
        </w:rPr>
        <w:t>IN</w:t>
      </w:r>
      <w:r w:rsidRPr="00786E2A">
        <w:rPr>
          <w:rFonts w:ascii="Calibri" w:eastAsia="Times New Roman" w:hAnsi="Calibri" w:cs="Calibri"/>
          <w:b/>
          <w:bCs/>
          <w:color w:val="000000" w:themeColor="text1"/>
          <w:sz w:val="28"/>
          <w:szCs w:val="28"/>
          <w:lang w:eastAsia="it-IT"/>
        </w:rPr>
        <w:t xml:space="preserve"> EMATOLOGIA: </w:t>
      </w:r>
      <w:r w:rsidRPr="00C41626">
        <w:rPr>
          <w:rFonts w:ascii="Calibri" w:eastAsia="Times New Roman" w:hAnsi="Calibri" w:cs="Calibri"/>
          <w:b/>
          <w:bCs/>
          <w:color w:val="000000" w:themeColor="text1"/>
          <w:sz w:val="28"/>
          <w:szCs w:val="28"/>
          <w:lang w:eastAsia="it-IT"/>
        </w:rPr>
        <w:t>METODI A CONFRONTO</w:t>
      </w:r>
    </w:p>
    <w:p w14:paraId="70581940" w14:textId="77777777" w:rsidR="00452F16" w:rsidRDefault="00452F16" w:rsidP="00C41626">
      <w:pPr>
        <w:spacing w:after="0" w:line="240" w:lineRule="auto"/>
        <w:jc w:val="center"/>
        <w:rPr>
          <w:rFonts w:ascii="Calibri" w:eastAsia="Times New Roman" w:hAnsi="Calibri" w:cs="Calibri"/>
          <w:bCs/>
          <w:color w:val="000000" w:themeColor="text1"/>
          <w:sz w:val="28"/>
          <w:szCs w:val="28"/>
          <w:lang w:eastAsia="it-IT"/>
        </w:rPr>
      </w:pPr>
      <w:r w:rsidRPr="00C41626">
        <w:rPr>
          <w:rFonts w:ascii="Calibri" w:eastAsia="Times New Roman" w:hAnsi="Calibri" w:cs="Calibri"/>
          <w:bCs/>
          <w:color w:val="000000" w:themeColor="text1"/>
          <w:sz w:val="28"/>
          <w:szCs w:val="28"/>
          <w:lang w:eastAsia="it-IT"/>
        </w:rPr>
        <w:t xml:space="preserve">Altieri A., Bossa MC., Minelli S., </w:t>
      </w:r>
      <w:proofErr w:type="spellStart"/>
      <w:r w:rsidRPr="00C41626">
        <w:rPr>
          <w:rFonts w:ascii="Calibri" w:eastAsia="Times New Roman" w:hAnsi="Calibri" w:cs="Calibri"/>
          <w:bCs/>
          <w:color w:val="000000" w:themeColor="text1"/>
          <w:sz w:val="28"/>
          <w:szCs w:val="28"/>
          <w:lang w:eastAsia="it-IT"/>
        </w:rPr>
        <w:t>Ombres</w:t>
      </w:r>
      <w:proofErr w:type="spellEnd"/>
      <w:r w:rsidRPr="00C41626">
        <w:rPr>
          <w:rFonts w:ascii="Calibri" w:eastAsia="Times New Roman" w:hAnsi="Calibri" w:cs="Calibri"/>
          <w:bCs/>
          <w:color w:val="000000" w:themeColor="text1"/>
          <w:sz w:val="28"/>
          <w:szCs w:val="28"/>
          <w:lang w:eastAsia="it-IT"/>
        </w:rPr>
        <w:t xml:space="preserve"> D., Fiorilla C., Camicia V., Petruccelli R., </w:t>
      </w:r>
      <w:r w:rsidR="00C41626" w:rsidRPr="00C41626">
        <w:rPr>
          <w:rFonts w:ascii="Calibri" w:eastAsia="Times New Roman" w:hAnsi="Calibri" w:cs="Calibri"/>
          <w:bCs/>
          <w:color w:val="000000" w:themeColor="text1"/>
          <w:sz w:val="28"/>
          <w:szCs w:val="28"/>
          <w:lang w:eastAsia="it-IT"/>
        </w:rPr>
        <w:t xml:space="preserve">Sacco </w:t>
      </w:r>
      <w:r w:rsidRPr="00C41626">
        <w:rPr>
          <w:rFonts w:ascii="Calibri" w:eastAsia="Times New Roman" w:hAnsi="Calibri" w:cs="Calibri"/>
          <w:bCs/>
          <w:color w:val="000000" w:themeColor="text1"/>
          <w:sz w:val="28"/>
          <w:szCs w:val="28"/>
          <w:lang w:eastAsia="it-IT"/>
        </w:rPr>
        <w:t>A., D’Agostini C.</w:t>
      </w:r>
    </w:p>
    <w:p w14:paraId="7ECDA0EA" w14:textId="77777777" w:rsidR="00C41626" w:rsidRDefault="00C41626" w:rsidP="00C41626">
      <w:pPr>
        <w:spacing w:after="0" w:line="240" w:lineRule="auto"/>
        <w:jc w:val="center"/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it-IT"/>
        </w:rPr>
      </w:pPr>
      <w:r w:rsidRPr="00C41626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it-IT"/>
        </w:rPr>
        <w:t xml:space="preserve">Laboratorio di Batteriologia, Unit Appropriatezza prescrittiva, A.F. Medicina di Laboratorio, Policlinico Tor Vergata </w:t>
      </w:r>
      <w:r w:rsidR="00B95232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it-IT"/>
        </w:rPr>
        <w:t>–</w:t>
      </w:r>
      <w:r w:rsidRPr="00C41626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it-IT"/>
        </w:rPr>
        <w:t xml:space="preserve"> Roma</w:t>
      </w:r>
    </w:p>
    <w:p w14:paraId="31A31ABC" w14:textId="77777777" w:rsidR="00B95232" w:rsidRPr="00C41626" w:rsidRDefault="00B95232" w:rsidP="00C41626">
      <w:pPr>
        <w:spacing w:after="0" w:line="240" w:lineRule="auto"/>
        <w:jc w:val="center"/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it-IT"/>
        </w:rPr>
      </w:pPr>
    </w:p>
    <w:p w14:paraId="59455D29" w14:textId="77777777" w:rsidR="00786E2A" w:rsidRPr="00B95232" w:rsidRDefault="00786E2A" w:rsidP="009B7713">
      <w:pPr>
        <w:spacing w:after="0" w:line="240" w:lineRule="auto"/>
        <w:ind w:firstLine="708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it-IT"/>
        </w:rPr>
      </w:pPr>
      <w:r w:rsidRPr="00B95232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eastAsia="it-IT"/>
        </w:rPr>
        <w:t>Introduzione e scopo</w:t>
      </w:r>
    </w:p>
    <w:p w14:paraId="5513D6F1" w14:textId="77777777" w:rsidR="00B95232" w:rsidRPr="00B95232" w:rsidRDefault="00C7498E" w:rsidP="00B95232">
      <w:pPr>
        <w:spacing w:line="240" w:lineRule="atLeast"/>
        <w:ind w:firstLine="708"/>
        <w:jc w:val="both"/>
        <w:rPr>
          <w:rFonts w:cstheme="minorHAnsi"/>
          <w:sz w:val="24"/>
          <w:szCs w:val="24"/>
        </w:rPr>
      </w:pPr>
      <w:r w:rsidRPr="00B95232">
        <w:rPr>
          <w:rFonts w:cstheme="minorHAnsi"/>
          <w:sz w:val="24"/>
          <w:szCs w:val="24"/>
        </w:rPr>
        <w:t xml:space="preserve">L'Italia mostra, tra i paesi europei, uno dei più alti tassi di prevalenza di batteri multiresistenti (MDR), </w:t>
      </w:r>
      <w:r w:rsidR="00A6418F" w:rsidRPr="00B95232">
        <w:rPr>
          <w:rFonts w:cstheme="minorHAnsi"/>
          <w:sz w:val="24"/>
          <w:szCs w:val="24"/>
        </w:rPr>
        <w:t>la cui</w:t>
      </w:r>
      <w:r w:rsidRPr="00B95232">
        <w:rPr>
          <w:rFonts w:cstheme="minorHAnsi"/>
          <w:sz w:val="24"/>
          <w:szCs w:val="24"/>
        </w:rPr>
        <w:t xml:space="preserve"> sorveglianza comporta la raccolta sistematica, l'analisi e la presentazione dei dati di antibiotico-resistenza e costituisce una componente fondamentale di qualsiasi programma di controllo delle infezioni</w:t>
      </w:r>
      <w:r w:rsidR="00A6418F" w:rsidRPr="00B95232">
        <w:rPr>
          <w:rFonts w:cstheme="minorHAnsi"/>
          <w:sz w:val="24"/>
          <w:szCs w:val="24"/>
        </w:rPr>
        <w:t xml:space="preserve"> (</w:t>
      </w:r>
      <w:proofErr w:type="spellStart"/>
      <w:r w:rsidR="00A6418F" w:rsidRPr="00B95232">
        <w:rPr>
          <w:rFonts w:cstheme="minorHAnsi"/>
          <w:sz w:val="24"/>
          <w:szCs w:val="24"/>
        </w:rPr>
        <w:t>antimicrobial</w:t>
      </w:r>
      <w:proofErr w:type="spellEnd"/>
      <w:r w:rsidR="00A6418F" w:rsidRPr="00B95232">
        <w:rPr>
          <w:rFonts w:cstheme="minorHAnsi"/>
          <w:sz w:val="24"/>
          <w:szCs w:val="24"/>
        </w:rPr>
        <w:t xml:space="preserve"> </w:t>
      </w:r>
      <w:proofErr w:type="spellStart"/>
      <w:r w:rsidR="00A6418F" w:rsidRPr="00B95232">
        <w:rPr>
          <w:rFonts w:cstheme="minorHAnsi"/>
          <w:sz w:val="24"/>
          <w:szCs w:val="24"/>
        </w:rPr>
        <w:t>stewardship</w:t>
      </w:r>
      <w:proofErr w:type="spellEnd"/>
      <w:r w:rsidR="00A6418F" w:rsidRPr="00B95232">
        <w:rPr>
          <w:rFonts w:cstheme="minorHAnsi"/>
          <w:sz w:val="24"/>
          <w:szCs w:val="24"/>
        </w:rPr>
        <w:t>)</w:t>
      </w:r>
      <w:r w:rsidR="008C6075" w:rsidRPr="00B95232">
        <w:rPr>
          <w:rFonts w:cstheme="minorHAnsi"/>
          <w:sz w:val="24"/>
          <w:szCs w:val="24"/>
        </w:rPr>
        <w:t xml:space="preserve">. </w:t>
      </w:r>
      <w:r w:rsidR="00210D53" w:rsidRPr="00B95232">
        <w:rPr>
          <w:rFonts w:cstheme="minorHAnsi"/>
          <w:sz w:val="24"/>
          <w:szCs w:val="24"/>
        </w:rPr>
        <w:t>La</w:t>
      </w:r>
      <w:r w:rsidR="009159DB" w:rsidRPr="00B95232">
        <w:rPr>
          <w:rFonts w:cstheme="minorHAnsi"/>
          <w:sz w:val="24"/>
          <w:szCs w:val="24"/>
        </w:rPr>
        <w:t xml:space="preserve"> circolare ministeriale d</w:t>
      </w:r>
      <w:r w:rsidR="009159DB" w:rsidRPr="00B95232">
        <w:rPr>
          <w:rFonts w:cstheme="minorHAnsi"/>
          <w:bCs/>
          <w:sz w:val="24"/>
          <w:szCs w:val="24"/>
        </w:rPr>
        <w:t>el 2013, successivamente aggiornata con la n°35470 del 06/12/2019</w:t>
      </w:r>
      <w:r w:rsidR="00210D53" w:rsidRPr="00B95232">
        <w:rPr>
          <w:rFonts w:cstheme="minorHAnsi"/>
          <w:bCs/>
          <w:sz w:val="24"/>
          <w:szCs w:val="24"/>
        </w:rPr>
        <w:t xml:space="preserve"> </w:t>
      </w:r>
      <w:r w:rsidR="00210D53" w:rsidRPr="00B95232">
        <w:rPr>
          <w:rFonts w:cstheme="minorHAnsi"/>
          <w:sz w:val="24"/>
          <w:szCs w:val="24"/>
        </w:rPr>
        <w:t>stabil</w:t>
      </w:r>
      <w:r w:rsidR="00912B2F" w:rsidRPr="00B95232">
        <w:rPr>
          <w:rFonts w:cstheme="minorHAnsi"/>
          <w:sz w:val="24"/>
          <w:szCs w:val="24"/>
        </w:rPr>
        <w:t>i</w:t>
      </w:r>
      <w:r w:rsidR="00210D53" w:rsidRPr="00B95232">
        <w:rPr>
          <w:rFonts w:cstheme="minorHAnsi"/>
          <w:sz w:val="24"/>
          <w:szCs w:val="24"/>
        </w:rPr>
        <w:t>sc</w:t>
      </w:r>
      <w:r w:rsidR="00912B2F" w:rsidRPr="00B95232">
        <w:rPr>
          <w:rFonts w:cstheme="minorHAnsi"/>
          <w:sz w:val="24"/>
          <w:szCs w:val="24"/>
        </w:rPr>
        <w:t>e l’importanza di misure di controllo da</w:t>
      </w:r>
      <w:r w:rsidR="009159DB" w:rsidRPr="00B95232">
        <w:rPr>
          <w:rFonts w:cstheme="minorHAnsi"/>
          <w:sz w:val="24"/>
          <w:szCs w:val="24"/>
        </w:rPr>
        <w:t xml:space="preserve"> </w:t>
      </w:r>
      <w:r w:rsidR="00912B2F" w:rsidRPr="00B95232">
        <w:rPr>
          <w:rFonts w:cstheme="minorHAnsi"/>
          <w:sz w:val="24"/>
          <w:szCs w:val="24"/>
        </w:rPr>
        <w:t>adottare a livello locale e regionale, per contrastare attivamente il fenomeno.</w:t>
      </w:r>
    </w:p>
    <w:p w14:paraId="7529CEB6" w14:textId="77777777" w:rsidR="00912B2F" w:rsidRPr="00B95232" w:rsidRDefault="00912B2F" w:rsidP="00B95232">
      <w:pPr>
        <w:spacing w:line="240" w:lineRule="atLeast"/>
        <w:ind w:firstLine="708"/>
        <w:jc w:val="both"/>
        <w:rPr>
          <w:rFonts w:cstheme="minorHAnsi"/>
          <w:sz w:val="24"/>
          <w:szCs w:val="24"/>
        </w:rPr>
      </w:pPr>
      <w:r w:rsidRPr="00B95232">
        <w:rPr>
          <w:rFonts w:cstheme="minorHAnsi"/>
          <w:sz w:val="24"/>
          <w:szCs w:val="24"/>
        </w:rPr>
        <w:t>Le misure di controllo suggerite come efficaci da questo documento e da altre linee guida</w:t>
      </w:r>
      <w:r w:rsidR="009159DB" w:rsidRPr="00B95232">
        <w:rPr>
          <w:rFonts w:cstheme="minorHAnsi"/>
          <w:sz w:val="24"/>
          <w:szCs w:val="24"/>
        </w:rPr>
        <w:t xml:space="preserve"> </w:t>
      </w:r>
      <w:r w:rsidR="008C6075" w:rsidRPr="00B95232">
        <w:rPr>
          <w:rFonts w:cstheme="minorHAnsi"/>
          <w:sz w:val="24"/>
          <w:szCs w:val="24"/>
        </w:rPr>
        <w:t>internazionali comprendono</w:t>
      </w:r>
      <w:r w:rsidRPr="00B95232">
        <w:rPr>
          <w:rFonts w:cstheme="minorHAnsi"/>
          <w:sz w:val="24"/>
          <w:szCs w:val="24"/>
        </w:rPr>
        <w:t xml:space="preserve"> l’identificazione tempestiva dei pazienti </w:t>
      </w:r>
      <w:proofErr w:type="spellStart"/>
      <w:r w:rsidRPr="00B95232">
        <w:rPr>
          <w:rFonts w:cstheme="minorHAnsi"/>
          <w:sz w:val="24"/>
          <w:szCs w:val="24"/>
        </w:rPr>
        <w:t>infetti</w:t>
      </w:r>
      <w:proofErr w:type="spellEnd"/>
      <w:r w:rsidRPr="00B95232">
        <w:rPr>
          <w:rFonts w:cstheme="minorHAnsi"/>
          <w:sz w:val="24"/>
          <w:szCs w:val="24"/>
        </w:rPr>
        <w:t>; la sorveglianza</w:t>
      </w:r>
      <w:r w:rsidR="009159DB" w:rsidRPr="00B95232">
        <w:rPr>
          <w:rFonts w:cstheme="minorHAnsi"/>
          <w:sz w:val="24"/>
          <w:szCs w:val="24"/>
        </w:rPr>
        <w:t xml:space="preserve"> </w:t>
      </w:r>
      <w:r w:rsidRPr="00B95232">
        <w:rPr>
          <w:rFonts w:cstheme="minorHAnsi"/>
          <w:sz w:val="24"/>
          <w:szCs w:val="24"/>
        </w:rPr>
        <w:t>attiva attraverso lo screening con tampone rettale; l’isolamento de</w:t>
      </w:r>
      <w:r w:rsidR="008C6075" w:rsidRPr="00B95232">
        <w:rPr>
          <w:rFonts w:cstheme="minorHAnsi"/>
          <w:sz w:val="24"/>
          <w:szCs w:val="24"/>
        </w:rPr>
        <w:t>i pazienti colonizzati/infetti</w:t>
      </w:r>
      <w:r w:rsidRPr="00B95232">
        <w:rPr>
          <w:rFonts w:cstheme="minorHAnsi"/>
          <w:sz w:val="24"/>
          <w:szCs w:val="24"/>
        </w:rPr>
        <w:t xml:space="preserve"> e l’adozione</w:t>
      </w:r>
      <w:r w:rsidR="008C6075" w:rsidRPr="00B95232">
        <w:rPr>
          <w:rFonts w:cstheme="minorHAnsi"/>
          <w:sz w:val="24"/>
          <w:szCs w:val="24"/>
        </w:rPr>
        <w:t xml:space="preserve"> </w:t>
      </w:r>
      <w:r w:rsidRPr="00B95232">
        <w:rPr>
          <w:rFonts w:cstheme="minorHAnsi"/>
          <w:sz w:val="24"/>
          <w:szCs w:val="24"/>
        </w:rPr>
        <w:t>delle precauzioni da contatto nella</w:t>
      </w:r>
      <w:r w:rsidR="008C6075" w:rsidRPr="00B95232">
        <w:rPr>
          <w:rFonts w:cstheme="minorHAnsi"/>
          <w:sz w:val="24"/>
          <w:szCs w:val="24"/>
        </w:rPr>
        <w:t xml:space="preserve"> </w:t>
      </w:r>
      <w:r w:rsidRPr="00B95232">
        <w:rPr>
          <w:rFonts w:cstheme="minorHAnsi"/>
          <w:sz w:val="24"/>
          <w:szCs w:val="24"/>
        </w:rPr>
        <w:t>gestione di questi pazienti.</w:t>
      </w:r>
    </w:p>
    <w:p w14:paraId="5FEC2349" w14:textId="77777777" w:rsidR="008C6075" w:rsidRPr="00B95232" w:rsidRDefault="008C6075" w:rsidP="009B7713">
      <w:pPr>
        <w:spacing w:after="0" w:line="240" w:lineRule="atLeast"/>
        <w:jc w:val="both"/>
        <w:rPr>
          <w:sz w:val="24"/>
          <w:szCs w:val="24"/>
        </w:rPr>
      </w:pPr>
      <w:r w:rsidRPr="00B95232">
        <w:rPr>
          <w:sz w:val="24"/>
          <w:szCs w:val="24"/>
        </w:rPr>
        <w:tab/>
      </w:r>
      <w:r w:rsidR="00855AE6" w:rsidRPr="00B95232">
        <w:rPr>
          <w:sz w:val="24"/>
          <w:szCs w:val="24"/>
        </w:rPr>
        <w:t>Scopo del nostro studio è stato quello di mettere a confronto per la sorveglianza dei CRE</w:t>
      </w:r>
      <w:r w:rsidR="000A75FB" w:rsidRPr="00B95232">
        <w:rPr>
          <w:sz w:val="24"/>
          <w:szCs w:val="24"/>
        </w:rPr>
        <w:t xml:space="preserve"> (Enterobatteri </w:t>
      </w:r>
      <w:proofErr w:type="spellStart"/>
      <w:r w:rsidR="000A75FB" w:rsidRPr="00B95232">
        <w:rPr>
          <w:sz w:val="24"/>
          <w:szCs w:val="24"/>
        </w:rPr>
        <w:t>Carbapenemasi</w:t>
      </w:r>
      <w:proofErr w:type="spellEnd"/>
      <w:r w:rsidR="000A75FB" w:rsidRPr="00B95232">
        <w:rPr>
          <w:sz w:val="24"/>
          <w:szCs w:val="24"/>
        </w:rPr>
        <w:t xml:space="preserve"> Resistenti)</w:t>
      </w:r>
      <w:r w:rsidR="00855AE6" w:rsidRPr="00B95232">
        <w:rPr>
          <w:sz w:val="24"/>
          <w:szCs w:val="24"/>
        </w:rPr>
        <w:t xml:space="preserve"> il metodo colturale tradizionale con quello molecolare, e i rispettivi tempi di refertazione.</w:t>
      </w:r>
    </w:p>
    <w:p w14:paraId="01129B70" w14:textId="77777777" w:rsidR="008C6075" w:rsidRPr="00B95232" w:rsidRDefault="008C6075" w:rsidP="009B7713">
      <w:pPr>
        <w:spacing w:after="0" w:line="240" w:lineRule="atLeast"/>
        <w:jc w:val="both"/>
        <w:rPr>
          <w:sz w:val="24"/>
          <w:szCs w:val="24"/>
        </w:rPr>
      </w:pPr>
    </w:p>
    <w:p w14:paraId="41E1CB17" w14:textId="77777777" w:rsidR="00C7498E" w:rsidRPr="00B95232" w:rsidRDefault="00C7498E" w:rsidP="009B7713">
      <w:pPr>
        <w:spacing w:after="0" w:line="240" w:lineRule="auto"/>
        <w:ind w:firstLine="708"/>
        <w:jc w:val="both"/>
        <w:rPr>
          <w:b/>
          <w:sz w:val="24"/>
          <w:szCs w:val="24"/>
        </w:rPr>
      </w:pPr>
      <w:r w:rsidRPr="00B95232">
        <w:rPr>
          <w:b/>
          <w:sz w:val="24"/>
          <w:szCs w:val="24"/>
        </w:rPr>
        <w:t>Materiali e metodi</w:t>
      </w:r>
    </w:p>
    <w:p w14:paraId="0E38FC10" w14:textId="77777777" w:rsidR="00855AE6" w:rsidRDefault="007F6EB9" w:rsidP="009B7713">
      <w:pPr>
        <w:spacing w:after="0" w:line="240" w:lineRule="atLeast"/>
        <w:ind w:firstLine="709"/>
        <w:jc w:val="both"/>
        <w:rPr>
          <w:sz w:val="24"/>
          <w:szCs w:val="24"/>
        </w:rPr>
      </w:pPr>
      <w:r w:rsidRPr="00B95232">
        <w:rPr>
          <w:sz w:val="24"/>
          <w:szCs w:val="24"/>
        </w:rPr>
        <w:t xml:space="preserve">Da </w:t>
      </w:r>
      <w:proofErr w:type="gramStart"/>
      <w:r w:rsidRPr="00B95232">
        <w:rPr>
          <w:sz w:val="24"/>
          <w:szCs w:val="24"/>
        </w:rPr>
        <w:t>Aprile</w:t>
      </w:r>
      <w:proofErr w:type="gramEnd"/>
      <w:r w:rsidRPr="00B95232">
        <w:rPr>
          <w:sz w:val="24"/>
          <w:szCs w:val="24"/>
        </w:rPr>
        <w:t xml:space="preserve"> a </w:t>
      </w:r>
      <w:proofErr w:type="gramStart"/>
      <w:r w:rsidRPr="00B95232">
        <w:rPr>
          <w:sz w:val="24"/>
          <w:szCs w:val="24"/>
        </w:rPr>
        <w:t>Dicembre</w:t>
      </w:r>
      <w:proofErr w:type="gramEnd"/>
      <w:r w:rsidR="00855AE6" w:rsidRPr="00B95232">
        <w:rPr>
          <w:sz w:val="24"/>
          <w:szCs w:val="24"/>
        </w:rPr>
        <w:t xml:space="preserve"> 2023 </w:t>
      </w:r>
      <w:r w:rsidR="000A75FB" w:rsidRPr="00B95232">
        <w:rPr>
          <w:sz w:val="24"/>
          <w:szCs w:val="24"/>
        </w:rPr>
        <w:t>il Laboratorio di Microbiologia del Policlinico Tor Vergata ha</w:t>
      </w:r>
      <w:r w:rsidR="00855AE6" w:rsidRPr="00B95232">
        <w:rPr>
          <w:sz w:val="24"/>
          <w:szCs w:val="24"/>
        </w:rPr>
        <w:t xml:space="preserve"> </w:t>
      </w:r>
      <w:r w:rsidR="00522FF9">
        <w:rPr>
          <w:sz w:val="24"/>
          <w:szCs w:val="24"/>
        </w:rPr>
        <w:t xml:space="preserve">analizzato 907 tamponi rettali eseguiti ogni settimana secondo le disposizioni vigenti nella nostra realtà ospedaliera, </w:t>
      </w:r>
      <w:r w:rsidR="00855AE6" w:rsidRPr="00B95232">
        <w:rPr>
          <w:sz w:val="24"/>
          <w:szCs w:val="24"/>
        </w:rPr>
        <w:t>provenienti dal repart</w:t>
      </w:r>
      <w:r w:rsidR="000A75FB" w:rsidRPr="00B95232">
        <w:rPr>
          <w:sz w:val="24"/>
          <w:szCs w:val="24"/>
        </w:rPr>
        <w:t>o di Patologie mielo</w:t>
      </w:r>
      <w:r w:rsidR="00855AE6" w:rsidRPr="00B95232">
        <w:rPr>
          <w:sz w:val="24"/>
          <w:szCs w:val="24"/>
        </w:rPr>
        <w:t>prolif</w:t>
      </w:r>
      <w:r w:rsidR="000A75FB" w:rsidRPr="00B95232">
        <w:rPr>
          <w:sz w:val="24"/>
          <w:szCs w:val="24"/>
        </w:rPr>
        <w:t>erative ed Ematologia trapianti</w:t>
      </w:r>
      <w:r w:rsidR="00855AE6" w:rsidRPr="00B95232">
        <w:rPr>
          <w:sz w:val="24"/>
          <w:szCs w:val="24"/>
        </w:rPr>
        <w:t xml:space="preserve">. I campioni sono stati seminati su terreno </w:t>
      </w:r>
      <w:r w:rsidRPr="00B95232">
        <w:rPr>
          <w:sz w:val="24"/>
          <w:szCs w:val="24"/>
        </w:rPr>
        <w:t>CHROMID</w:t>
      </w:r>
      <w:r w:rsidRPr="00B95232">
        <w:rPr>
          <w:rFonts w:cstheme="minorHAnsi"/>
          <w:sz w:val="24"/>
          <w:szCs w:val="24"/>
        </w:rPr>
        <w:t>® CARBA Agar</w:t>
      </w:r>
      <w:r w:rsidR="00111D4A" w:rsidRPr="00B95232">
        <w:rPr>
          <w:rFonts w:cstheme="minorHAnsi"/>
          <w:sz w:val="24"/>
          <w:szCs w:val="24"/>
        </w:rPr>
        <w:t xml:space="preserve"> (</w:t>
      </w:r>
      <w:proofErr w:type="spellStart"/>
      <w:r w:rsidR="00111D4A" w:rsidRPr="00B95232">
        <w:rPr>
          <w:rFonts w:cstheme="minorHAnsi"/>
          <w:sz w:val="24"/>
          <w:szCs w:val="24"/>
        </w:rPr>
        <w:t>Biomerieux</w:t>
      </w:r>
      <w:proofErr w:type="spellEnd"/>
      <w:r w:rsidR="00111D4A" w:rsidRPr="00B95232">
        <w:rPr>
          <w:rFonts w:cstheme="minorHAnsi"/>
          <w:sz w:val="24"/>
          <w:szCs w:val="24"/>
        </w:rPr>
        <w:t>)</w:t>
      </w:r>
      <w:r w:rsidRPr="00B95232">
        <w:rPr>
          <w:rFonts w:cstheme="minorHAnsi"/>
          <w:sz w:val="24"/>
          <w:szCs w:val="24"/>
        </w:rPr>
        <w:t xml:space="preserve"> e incubati </w:t>
      </w:r>
      <w:r w:rsidR="000A75FB" w:rsidRPr="00B95232">
        <w:rPr>
          <w:rFonts w:cstheme="minorHAnsi"/>
          <w:sz w:val="24"/>
          <w:szCs w:val="24"/>
        </w:rPr>
        <w:t xml:space="preserve">a 37° </w:t>
      </w:r>
      <w:r w:rsidRPr="00B95232">
        <w:rPr>
          <w:rFonts w:cstheme="minorHAnsi"/>
          <w:sz w:val="24"/>
          <w:szCs w:val="24"/>
        </w:rPr>
        <w:t xml:space="preserve">fino a 48h e contemporaneamente processati con </w:t>
      </w:r>
      <w:r w:rsidR="00111D4A" w:rsidRPr="00B95232">
        <w:rPr>
          <w:rFonts w:cstheme="minorHAnsi"/>
          <w:sz w:val="24"/>
          <w:szCs w:val="24"/>
        </w:rPr>
        <w:t>Xpert® Carba-R (</w:t>
      </w:r>
      <w:proofErr w:type="spellStart"/>
      <w:r w:rsidR="00111D4A" w:rsidRPr="00B95232">
        <w:rPr>
          <w:rFonts w:cstheme="minorHAnsi"/>
          <w:sz w:val="24"/>
          <w:szCs w:val="24"/>
        </w:rPr>
        <w:t>Cepheid</w:t>
      </w:r>
      <w:proofErr w:type="spellEnd"/>
      <w:r w:rsidR="00111D4A" w:rsidRPr="00B95232">
        <w:rPr>
          <w:rFonts w:cstheme="minorHAnsi"/>
          <w:sz w:val="24"/>
          <w:szCs w:val="24"/>
        </w:rPr>
        <w:t>), test rapido per la rilevazione dei</w:t>
      </w:r>
      <w:r w:rsidR="00336427" w:rsidRPr="00B95232">
        <w:rPr>
          <w:rFonts w:cstheme="minorHAnsi"/>
          <w:sz w:val="24"/>
          <w:szCs w:val="24"/>
        </w:rPr>
        <w:t xml:space="preserve"> geni</w:t>
      </w:r>
      <w:r w:rsidR="00336427" w:rsidRPr="00B95232">
        <w:rPr>
          <w:sz w:val="24"/>
          <w:szCs w:val="24"/>
        </w:rPr>
        <w:t xml:space="preserve"> delle </w:t>
      </w:r>
      <w:proofErr w:type="spellStart"/>
      <w:r w:rsidR="00336427" w:rsidRPr="00B95232">
        <w:rPr>
          <w:sz w:val="24"/>
          <w:szCs w:val="24"/>
        </w:rPr>
        <w:t>carbapenemasi</w:t>
      </w:r>
      <w:proofErr w:type="spellEnd"/>
      <w:r w:rsidR="00336427" w:rsidRPr="00B95232">
        <w:rPr>
          <w:sz w:val="24"/>
          <w:szCs w:val="24"/>
        </w:rPr>
        <w:t xml:space="preserve"> più frequenti (KPC, NDM, VIM, IMP-1 e OXA-48).</w:t>
      </w:r>
    </w:p>
    <w:p w14:paraId="3B2AB46D" w14:textId="77777777" w:rsidR="00B95232" w:rsidRPr="00B95232" w:rsidRDefault="00B95232" w:rsidP="009B7713">
      <w:pPr>
        <w:spacing w:after="0" w:line="240" w:lineRule="atLeast"/>
        <w:ind w:firstLine="709"/>
        <w:jc w:val="both"/>
        <w:rPr>
          <w:sz w:val="24"/>
          <w:szCs w:val="24"/>
        </w:rPr>
      </w:pPr>
    </w:p>
    <w:p w14:paraId="70587F6E" w14:textId="77777777" w:rsidR="00336427" w:rsidRPr="00B95232" w:rsidRDefault="00336427" w:rsidP="001E245B">
      <w:pPr>
        <w:spacing w:after="0" w:line="240" w:lineRule="auto"/>
        <w:ind w:firstLine="708"/>
        <w:jc w:val="both"/>
        <w:rPr>
          <w:b/>
          <w:sz w:val="24"/>
          <w:szCs w:val="24"/>
        </w:rPr>
      </w:pPr>
      <w:r w:rsidRPr="00B95232">
        <w:rPr>
          <w:b/>
          <w:sz w:val="24"/>
          <w:szCs w:val="24"/>
        </w:rPr>
        <w:t>Risultati</w:t>
      </w:r>
    </w:p>
    <w:p w14:paraId="0E1D83E5" w14:textId="77777777" w:rsidR="001A6BCB" w:rsidRPr="00B95232" w:rsidRDefault="00336427" w:rsidP="009B7713">
      <w:pPr>
        <w:spacing w:line="240" w:lineRule="atLeast"/>
        <w:ind w:firstLine="709"/>
        <w:jc w:val="both"/>
        <w:rPr>
          <w:sz w:val="24"/>
          <w:szCs w:val="24"/>
        </w:rPr>
      </w:pPr>
      <w:r w:rsidRPr="00B95232">
        <w:rPr>
          <w:sz w:val="24"/>
          <w:szCs w:val="24"/>
        </w:rPr>
        <w:t>Dei 907 campioni, 825</w:t>
      </w:r>
      <w:r w:rsidR="001E245B" w:rsidRPr="00B95232">
        <w:rPr>
          <w:sz w:val="24"/>
          <w:szCs w:val="24"/>
        </w:rPr>
        <w:t xml:space="preserve"> (91%)</w:t>
      </w:r>
      <w:r w:rsidRPr="00B95232">
        <w:rPr>
          <w:sz w:val="24"/>
          <w:szCs w:val="24"/>
        </w:rPr>
        <w:t xml:space="preserve"> </w:t>
      </w:r>
      <w:r w:rsidR="000A75FB" w:rsidRPr="00B95232">
        <w:rPr>
          <w:sz w:val="24"/>
          <w:szCs w:val="24"/>
        </w:rPr>
        <w:t>sono risultati</w:t>
      </w:r>
      <w:r w:rsidR="001E245B" w:rsidRPr="00B95232">
        <w:rPr>
          <w:sz w:val="24"/>
          <w:szCs w:val="24"/>
        </w:rPr>
        <w:t xml:space="preserve"> negativi sia all’</w:t>
      </w:r>
      <w:r w:rsidRPr="00B95232">
        <w:rPr>
          <w:sz w:val="24"/>
          <w:szCs w:val="24"/>
        </w:rPr>
        <w:t xml:space="preserve">esame </w:t>
      </w:r>
      <w:r w:rsidR="001E245B" w:rsidRPr="00B95232">
        <w:rPr>
          <w:sz w:val="24"/>
          <w:szCs w:val="24"/>
        </w:rPr>
        <w:t xml:space="preserve">colturale che al test molecolare. </w:t>
      </w:r>
      <w:r w:rsidR="000A75FB" w:rsidRPr="00B95232">
        <w:rPr>
          <w:sz w:val="24"/>
          <w:szCs w:val="24"/>
        </w:rPr>
        <w:t>Dei</w:t>
      </w:r>
      <w:r w:rsidR="001E245B" w:rsidRPr="00B95232">
        <w:rPr>
          <w:sz w:val="24"/>
          <w:szCs w:val="24"/>
        </w:rPr>
        <w:t xml:space="preserve"> restanti 82 campioni (9%) positivi al test molecolare</w:t>
      </w:r>
      <w:r w:rsidR="00F40F0C" w:rsidRPr="00B95232">
        <w:rPr>
          <w:sz w:val="24"/>
          <w:szCs w:val="24"/>
        </w:rPr>
        <w:t>,</w:t>
      </w:r>
      <w:r w:rsidR="009F3E84">
        <w:rPr>
          <w:sz w:val="24"/>
          <w:szCs w:val="24"/>
        </w:rPr>
        <w:t xml:space="preserve"> rispettivamente 18 KPC, 42 VIM, 10 NDM, 3 OXA48, 9 con combinazione di geni. S</w:t>
      </w:r>
      <w:r w:rsidR="001E245B" w:rsidRPr="00B95232">
        <w:rPr>
          <w:sz w:val="24"/>
          <w:szCs w:val="24"/>
        </w:rPr>
        <w:t xml:space="preserve">olo 37 </w:t>
      </w:r>
      <w:r w:rsidR="009F3E84">
        <w:rPr>
          <w:sz w:val="24"/>
          <w:szCs w:val="24"/>
        </w:rPr>
        <w:t xml:space="preserve">dei 82 campioni </w:t>
      </w:r>
      <w:r w:rsidR="001E245B" w:rsidRPr="00B95232">
        <w:rPr>
          <w:sz w:val="24"/>
          <w:szCs w:val="24"/>
        </w:rPr>
        <w:t xml:space="preserve">(45,1%) </w:t>
      </w:r>
      <w:r w:rsidR="00F40F0C" w:rsidRPr="00B95232">
        <w:rPr>
          <w:sz w:val="24"/>
          <w:szCs w:val="24"/>
        </w:rPr>
        <w:t xml:space="preserve">sono risultati </w:t>
      </w:r>
      <w:r w:rsidR="001E245B" w:rsidRPr="00B95232">
        <w:rPr>
          <w:sz w:val="24"/>
          <w:szCs w:val="24"/>
        </w:rPr>
        <w:t xml:space="preserve">positivi anche </w:t>
      </w:r>
      <w:r w:rsidR="00F40F0C" w:rsidRPr="00B95232">
        <w:rPr>
          <w:sz w:val="24"/>
          <w:szCs w:val="24"/>
        </w:rPr>
        <w:t>al</w:t>
      </w:r>
      <w:r w:rsidR="001E245B" w:rsidRPr="00B95232">
        <w:rPr>
          <w:sz w:val="24"/>
          <w:szCs w:val="24"/>
        </w:rPr>
        <w:t>l’esame colturale.</w:t>
      </w:r>
      <w:r w:rsidR="009F3E84">
        <w:rPr>
          <w:sz w:val="24"/>
          <w:szCs w:val="24"/>
        </w:rPr>
        <w:t xml:space="preserve"> I germi più frequentemente riscontrati sono stati k. </w:t>
      </w:r>
      <w:proofErr w:type="spellStart"/>
      <w:r w:rsidR="009F3E84">
        <w:rPr>
          <w:sz w:val="24"/>
          <w:szCs w:val="24"/>
        </w:rPr>
        <w:t>Pneumoniae</w:t>
      </w:r>
      <w:proofErr w:type="spellEnd"/>
      <w:r w:rsidR="009F3E84">
        <w:rPr>
          <w:sz w:val="24"/>
          <w:szCs w:val="24"/>
        </w:rPr>
        <w:t xml:space="preserve"> E. coli.</w:t>
      </w:r>
    </w:p>
    <w:p w14:paraId="1D598F15" w14:textId="77777777" w:rsidR="006F6D94" w:rsidRPr="00B95232" w:rsidRDefault="00F40F0C" w:rsidP="009B7713">
      <w:pPr>
        <w:spacing w:line="240" w:lineRule="atLeast"/>
        <w:ind w:firstLine="709"/>
        <w:jc w:val="both"/>
        <w:rPr>
          <w:sz w:val="24"/>
          <w:szCs w:val="24"/>
        </w:rPr>
      </w:pPr>
      <w:r w:rsidRPr="00B95232">
        <w:rPr>
          <w:sz w:val="24"/>
          <w:szCs w:val="24"/>
        </w:rPr>
        <w:t>Per</w:t>
      </w:r>
      <w:r w:rsidR="006F6D94" w:rsidRPr="00B95232">
        <w:rPr>
          <w:sz w:val="24"/>
          <w:szCs w:val="24"/>
        </w:rPr>
        <w:t xml:space="preserve"> 15 </w:t>
      </w:r>
      <w:r w:rsidRPr="00B95232">
        <w:rPr>
          <w:sz w:val="24"/>
          <w:szCs w:val="24"/>
        </w:rPr>
        <w:t xml:space="preserve">campioni </w:t>
      </w:r>
      <w:r w:rsidR="006F6D94" w:rsidRPr="00B95232">
        <w:rPr>
          <w:sz w:val="24"/>
          <w:szCs w:val="24"/>
        </w:rPr>
        <w:t>positivi ad entrambi i test</w:t>
      </w:r>
      <w:r w:rsidR="00EC77BF" w:rsidRPr="00B95232">
        <w:rPr>
          <w:sz w:val="24"/>
          <w:szCs w:val="24"/>
        </w:rPr>
        <w:t xml:space="preserve">, </w:t>
      </w:r>
      <w:r w:rsidRPr="00B95232">
        <w:rPr>
          <w:sz w:val="24"/>
          <w:szCs w:val="24"/>
        </w:rPr>
        <w:t>calcoland</w:t>
      </w:r>
      <w:r w:rsidR="00EC77BF" w:rsidRPr="00B95232">
        <w:rPr>
          <w:sz w:val="24"/>
          <w:szCs w:val="24"/>
        </w:rPr>
        <w:t>o la media (in ore) dei tempi di refertazione</w:t>
      </w:r>
      <w:r w:rsidRPr="00B95232">
        <w:rPr>
          <w:sz w:val="24"/>
          <w:szCs w:val="24"/>
        </w:rPr>
        <w:t xml:space="preserve"> abbiamo ottenuto i seguenti valori:</w:t>
      </w:r>
      <w:r w:rsidR="00EC77BF" w:rsidRPr="00B95232">
        <w:rPr>
          <w:sz w:val="24"/>
          <w:szCs w:val="24"/>
        </w:rPr>
        <w:t xml:space="preserve"> 10,8 ore </w:t>
      </w:r>
      <w:r w:rsidRPr="00B95232">
        <w:rPr>
          <w:sz w:val="24"/>
          <w:szCs w:val="24"/>
        </w:rPr>
        <w:t>con metodo PCR</w:t>
      </w:r>
      <w:r w:rsidR="00EC77BF" w:rsidRPr="00B95232">
        <w:rPr>
          <w:sz w:val="24"/>
          <w:szCs w:val="24"/>
        </w:rPr>
        <w:t xml:space="preserve"> e 69,8 ore </w:t>
      </w:r>
      <w:r w:rsidRPr="00B95232">
        <w:rPr>
          <w:sz w:val="24"/>
          <w:szCs w:val="24"/>
        </w:rPr>
        <w:t>con</w:t>
      </w:r>
      <w:r w:rsidR="00EC77BF" w:rsidRPr="00B95232">
        <w:rPr>
          <w:sz w:val="24"/>
          <w:szCs w:val="24"/>
        </w:rPr>
        <w:t xml:space="preserve"> </w:t>
      </w:r>
      <w:r w:rsidRPr="00B95232">
        <w:rPr>
          <w:sz w:val="24"/>
          <w:szCs w:val="24"/>
        </w:rPr>
        <w:t xml:space="preserve">identificazione ed </w:t>
      </w:r>
      <w:r w:rsidR="00EC77BF" w:rsidRPr="00B95232">
        <w:rPr>
          <w:sz w:val="24"/>
          <w:szCs w:val="24"/>
        </w:rPr>
        <w:t>antibiogramma fenotipico.</w:t>
      </w:r>
    </w:p>
    <w:p w14:paraId="0FD2D686" w14:textId="77777777" w:rsidR="00EC77BF" w:rsidRPr="00B95232" w:rsidRDefault="00EC77BF" w:rsidP="009B7713">
      <w:pPr>
        <w:ind w:firstLine="708"/>
        <w:jc w:val="both"/>
        <w:rPr>
          <w:b/>
          <w:sz w:val="24"/>
          <w:szCs w:val="24"/>
        </w:rPr>
      </w:pPr>
      <w:r w:rsidRPr="00B95232">
        <w:rPr>
          <w:b/>
          <w:sz w:val="24"/>
          <w:szCs w:val="24"/>
        </w:rPr>
        <w:t>Conclusioni</w:t>
      </w:r>
    </w:p>
    <w:p w14:paraId="267C8782" w14:textId="77777777" w:rsidR="00EC77BF" w:rsidRPr="00B95232" w:rsidRDefault="00EC77BF" w:rsidP="009B7713">
      <w:pPr>
        <w:spacing w:line="240" w:lineRule="atLeast"/>
        <w:ind w:firstLine="709"/>
        <w:jc w:val="both"/>
        <w:rPr>
          <w:sz w:val="24"/>
          <w:szCs w:val="24"/>
        </w:rPr>
      </w:pPr>
      <w:r w:rsidRPr="00B95232">
        <w:rPr>
          <w:sz w:val="24"/>
          <w:szCs w:val="24"/>
        </w:rPr>
        <w:t xml:space="preserve">Da questi dati </w:t>
      </w:r>
      <w:r w:rsidR="000F3C4C" w:rsidRPr="00B95232">
        <w:rPr>
          <w:sz w:val="24"/>
          <w:szCs w:val="24"/>
        </w:rPr>
        <w:t>emerge</w:t>
      </w:r>
      <w:r w:rsidRPr="00B95232">
        <w:rPr>
          <w:sz w:val="24"/>
          <w:szCs w:val="24"/>
        </w:rPr>
        <w:t xml:space="preserve"> </w:t>
      </w:r>
      <w:r w:rsidR="00E17FBF" w:rsidRPr="00B95232">
        <w:rPr>
          <w:sz w:val="24"/>
          <w:szCs w:val="24"/>
        </w:rPr>
        <w:t xml:space="preserve">come </w:t>
      </w:r>
      <w:r w:rsidR="000F3C4C" w:rsidRPr="00B95232">
        <w:rPr>
          <w:sz w:val="24"/>
          <w:szCs w:val="24"/>
        </w:rPr>
        <w:t xml:space="preserve">un rilevamento rapido e accurato </w:t>
      </w:r>
      <w:r w:rsidR="00E17FBF" w:rsidRPr="00B95232">
        <w:rPr>
          <w:sz w:val="24"/>
          <w:szCs w:val="24"/>
        </w:rPr>
        <w:t>possa permettere di identificare ed isolare tempestivamente pazienti colonizzati da CRE, al fine di contenere eventuali clusters</w:t>
      </w:r>
      <w:r w:rsidR="00F40F0C" w:rsidRPr="00B95232">
        <w:rPr>
          <w:sz w:val="24"/>
          <w:szCs w:val="24"/>
        </w:rPr>
        <w:t xml:space="preserve"> ospedalieri</w:t>
      </w:r>
      <w:r w:rsidR="00E17FBF" w:rsidRPr="00B95232">
        <w:rPr>
          <w:sz w:val="24"/>
          <w:szCs w:val="24"/>
        </w:rPr>
        <w:t>.</w:t>
      </w:r>
    </w:p>
    <w:p w14:paraId="12673BE1" w14:textId="77777777" w:rsidR="00F40F0C" w:rsidRPr="00B95232" w:rsidRDefault="00F40F0C" w:rsidP="009B7713">
      <w:pPr>
        <w:spacing w:line="240" w:lineRule="atLeast"/>
        <w:ind w:firstLine="709"/>
        <w:jc w:val="both"/>
        <w:rPr>
          <w:sz w:val="24"/>
          <w:szCs w:val="24"/>
        </w:rPr>
      </w:pPr>
      <w:r w:rsidRPr="00B95232">
        <w:rPr>
          <w:sz w:val="24"/>
          <w:szCs w:val="24"/>
        </w:rPr>
        <w:t xml:space="preserve">Da qui l’importanza di implementare </w:t>
      </w:r>
      <w:r w:rsidR="00452F16" w:rsidRPr="00B95232">
        <w:rPr>
          <w:sz w:val="24"/>
          <w:szCs w:val="24"/>
        </w:rPr>
        <w:t>la diagnostica molecolare per ridurre ulteriormente i tempi di refertazione.</w:t>
      </w:r>
    </w:p>
    <w:sectPr w:rsidR="00F40F0C" w:rsidRPr="00B95232" w:rsidSect="009B7713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6E2A"/>
    <w:rsid w:val="000A75FB"/>
    <w:rsid w:val="000C58FF"/>
    <w:rsid w:val="000E0ED4"/>
    <w:rsid w:val="000F3C4C"/>
    <w:rsid w:val="00111D4A"/>
    <w:rsid w:val="001A6BCB"/>
    <w:rsid w:val="001E245B"/>
    <w:rsid w:val="00210D53"/>
    <w:rsid w:val="00336427"/>
    <w:rsid w:val="00452F16"/>
    <w:rsid w:val="00522FF9"/>
    <w:rsid w:val="006F6D94"/>
    <w:rsid w:val="00786E2A"/>
    <w:rsid w:val="007F6EB9"/>
    <w:rsid w:val="00855AE6"/>
    <w:rsid w:val="008C6075"/>
    <w:rsid w:val="00912B2F"/>
    <w:rsid w:val="009159DB"/>
    <w:rsid w:val="009B7713"/>
    <w:rsid w:val="009B7BB1"/>
    <w:rsid w:val="009F3E84"/>
    <w:rsid w:val="00A6418F"/>
    <w:rsid w:val="00B95232"/>
    <w:rsid w:val="00C41626"/>
    <w:rsid w:val="00C516D9"/>
    <w:rsid w:val="00C7498E"/>
    <w:rsid w:val="00C871DE"/>
    <w:rsid w:val="00E17FBF"/>
    <w:rsid w:val="00EC77BF"/>
    <w:rsid w:val="00F40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A3C5A"/>
  <w15:chartTrackingRefBased/>
  <w15:docId w15:val="{D34D9C93-709B-430D-B872-92A294B6B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EC77BF"/>
    <w:pPr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516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516D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889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407</Words>
  <Characters>2597</Characters>
  <Application>Microsoft Office Word</Application>
  <DocSecurity>0</DocSecurity>
  <Lines>48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Altieri</dc:creator>
  <cp:keywords/>
  <dc:description/>
  <cp:lastModifiedBy>carlotta fiorilla</cp:lastModifiedBy>
  <cp:revision>2</cp:revision>
  <cp:lastPrinted>2023-12-18T13:04:00Z</cp:lastPrinted>
  <dcterms:created xsi:type="dcterms:W3CDTF">2026-01-22T12:13:00Z</dcterms:created>
  <dcterms:modified xsi:type="dcterms:W3CDTF">2026-01-22T12:13:00Z</dcterms:modified>
</cp:coreProperties>
</file>