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610F4E" w14:textId="77777777" w:rsidR="00801584" w:rsidRPr="00925180" w:rsidRDefault="00801584" w:rsidP="00801584">
      <w:pPr>
        <w:jc w:val="both"/>
        <w:rPr>
          <w:rFonts w:ascii="Garamond" w:hAnsi="Garamond"/>
          <w:sz w:val="24"/>
          <w:szCs w:val="24"/>
        </w:rPr>
      </w:pPr>
    </w:p>
    <w:p w14:paraId="4B950185" w14:textId="77777777" w:rsidR="00801584" w:rsidRPr="00925180" w:rsidRDefault="00801584" w:rsidP="00801584">
      <w:pPr>
        <w:jc w:val="center"/>
        <w:rPr>
          <w:rFonts w:ascii="Garamond" w:hAnsi="Garamond"/>
          <w:b/>
          <w:sz w:val="24"/>
          <w:szCs w:val="24"/>
        </w:rPr>
      </w:pPr>
      <w:r w:rsidRPr="00925180">
        <w:rPr>
          <w:rFonts w:ascii="Garamond" w:hAnsi="Garamond"/>
          <w:b/>
          <w:sz w:val="24"/>
          <w:szCs w:val="24"/>
        </w:rPr>
        <w:t xml:space="preserve">L’Autorità nazionale anticorruzione: storia, competenze e </w:t>
      </w:r>
      <w:r w:rsidR="00E26E0C" w:rsidRPr="00925180">
        <w:rPr>
          <w:rFonts w:ascii="Garamond" w:hAnsi="Garamond"/>
          <w:b/>
          <w:sz w:val="24"/>
          <w:szCs w:val="24"/>
        </w:rPr>
        <w:t xml:space="preserve">principali </w:t>
      </w:r>
      <w:r w:rsidRPr="00925180">
        <w:rPr>
          <w:rFonts w:ascii="Garamond" w:hAnsi="Garamond"/>
          <w:b/>
          <w:sz w:val="24"/>
          <w:szCs w:val="24"/>
        </w:rPr>
        <w:t>ambiti di attività</w:t>
      </w:r>
    </w:p>
    <w:p w14:paraId="2E683185" w14:textId="19D85B20" w:rsidR="00801584" w:rsidRPr="00925180" w:rsidRDefault="00801584" w:rsidP="00801584">
      <w:pPr>
        <w:jc w:val="center"/>
        <w:rPr>
          <w:rFonts w:ascii="Garamond" w:hAnsi="Garamond"/>
          <w:b/>
          <w:i/>
          <w:sz w:val="24"/>
          <w:szCs w:val="24"/>
        </w:rPr>
      </w:pPr>
      <w:r w:rsidRPr="00925180">
        <w:rPr>
          <w:rFonts w:ascii="Garamond" w:hAnsi="Garamond"/>
          <w:b/>
          <w:i/>
          <w:sz w:val="24"/>
          <w:szCs w:val="24"/>
        </w:rPr>
        <w:t>di M. Nunziata e V. Varone</w:t>
      </w:r>
      <w:r w:rsidR="009D188E" w:rsidRPr="00925180">
        <w:rPr>
          <w:rStyle w:val="Rimandonotaapidipagina"/>
          <w:rFonts w:ascii="Garamond" w:hAnsi="Garamond"/>
          <w:b/>
          <w:i/>
          <w:sz w:val="24"/>
          <w:szCs w:val="24"/>
        </w:rPr>
        <w:footnoteReference w:id="1"/>
      </w:r>
    </w:p>
    <w:p w14:paraId="1D6B0259" w14:textId="1B17F2AE" w:rsidR="005B00B2" w:rsidRPr="00925180" w:rsidRDefault="00801584" w:rsidP="005B00B2">
      <w:pPr>
        <w:jc w:val="both"/>
        <w:rPr>
          <w:rFonts w:ascii="Garamond" w:hAnsi="Garamond"/>
          <w:b/>
          <w:smallCaps/>
          <w:sz w:val="24"/>
          <w:szCs w:val="24"/>
        </w:rPr>
      </w:pPr>
      <w:r w:rsidRPr="00925180">
        <w:rPr>
          <w:rFonts w:ascii="Garamond" w:hAnsi="Garamond"/>
          <w:b/>
          <w:smallCaps/>
          <w:sz w:val="24"/>
          <w:szCs w:val="24"/>
        </w:rPr>
        <w:t>Sommario</w:t>
      </w:r>
      <w:r w:rsidR="00565E0A" w:rsidRPr="00925180">
        <w:rPr>
          <w:rFonts w:ascii="Garamond" w:hAnsi="Garamond"/>
          <w:b/>
          <w:smallCaps/>
          <w:sz w:val="24"/>
          <w:szCs w:val="24"/>
        </w:rPr>
        <w:t>: 1. L’Anac: istituzione</w:t>
      </w:r>
      <w:r w:rsidR="005B00B2" w:rsidRPr="00925180">
        <w:rPr>
          <w:rFonts w:ascii="Garamond" w:hAnsi="Garamond"/>
          <w:b/>
          <w:smallCaps/>
          <w:sz w:val="24"/>
          <w:szCs w:val="24"/>
        </w:rPr>
        <w:t xml:space="preserve"> e</w:t>
      </w:r>
      <w:r w:rsidR="00565E0A" w:rsidRPr="00925180">
        <w:rPr>
          <w:rFonts w:ascii="Garamond" w:hAnsi="Garamond"/>
          <w:b/>
          <w:smallCaps/>
          <w:sz w:val="24"/>
          <w:szCs w:val="24"/>
        </w:rPr>
        <w:t xml:space="preserve"> composizione</w:t>
      </w:r>
      <w:r w:rsidR="005B00B2" w:rsidRPr="00925180">
        <w:rPr>
          <w:rFonts w:ascii="Garamond" w:hAnsi="Garamond"/>
          <w:b/>
          <w:smallCaps/>
          <w:sz w:val="24"/>
          <w:szCs w:val="24"/>
        </w:rPr>
        <w:t xml:space="preserve">. – 2. Le funzioni dell’Autorità e il suo inquadramento quale “Autorità indipendente”. –  3. Le materie: la trasparenza tra regolazione e vigilanza. – 4.  </w:t>
      </w:r>
      <w:r w:rsidR="005B00B2" w:rsidRPr="00925180">
        <w:rPr>
          <w:rFonts w:ascii="Garamond" w:hAnsi="Garamond"/>
          <w:b/>
          <w:i/>
          <w:smallCaps/>
          <w:sz w:val="24"/>
          <w:szCs w:val="24"/>
        </w:rPr>
        <w:t>(segue)</w:t>
      </w:r>
      <w:r w:rsidR="005B00B2" w:rsidRPr="00925180">
        <w:rPr>
          <w:rFonts w:ascii="Garamond" w:hAnsi="Garamond"/>
          <w:b/>
          <w:smallCaps/>
          <w:sz w:val="24"/>
          <w:szCs w:val="24"/>
        </w:rPr>
        <w:t xml:space="preserve"> Gli appalti pubblici tra regolazione e vigilanza. – 5. Le nuove frontiere: il precontenzioso –  6. </w:t>
      </w:r>
      <w:r w:rsidR="005B00B2" w:rsidRPr="00925180">
        <w:rPr>
          <w:rFonts w:ascii="Garamond" w:hAnsi="Garamond"/>
          <w:b/>
          <w:i/>
          <w:smallCaps/>
          <w:sz w:val="24"/>
          <w:szCs w:val="24"/>
        </w:rPr>
        <w:t>(segue)</w:t>
      </w:r>
      <w:r w:rsidR="005B00B2" w:rsidRPr="00925180">
        <w:rPr>
          <w:rFonts w:ascii="Garamond" w:hAnsi="Garamond"/>
          <w:b/>
          <w:smallCaps/>
          <w:sz w:val="24"/>
          <w:szCs w:val="24"/>
        </w:rPr>
        <w:t xml:space="preserve"> Il </w:t>
      </w:r>
      <w:r w:rsidR="005B00B2" w:rsidRPr="00925180">
        <w:rPr>
          <w:rFonts w:ascii="Garamond" w:hAnsi="Garamond"/>
          <w:b/>
          <w:i/>
          <w:iCs/>
          <w:smallCaps/>
          <w:sz w:val="24"/>
          <w:szCs w:val="24"/>
        </w:rPr>
        <w:t>whistleblowing</w:t>
      </w:r>
      <w:r w:rsidR="005B00B2" w:rsidRPr="00925180">
        <w:rPr>
          <w:rFonts w:ascii="Garamond" w:hAnsi="Garamond"/>
          <w:b/>
          <w:iCs/>
          <w:smallCaps/>
          <w:sz w:val="24"/>
          <w:szCs w:val="24"/>
        </w:rPr>
        <w:t>.</w:t>
      </w:r>
    </w:p>
    <w:p w14:paraId="6E408BDD" w14:textId="20C0F623" w:rsidR="0088403D" w:rsidRPr="00925180" w:rsidRDefault="0088403D" w:rsidP="00801584">
      <w:pPr>
        <w:jc w:val="both"/>
        <w:rPr>
          <w:rFonts w:ascii="Garamond" w:hAnsi="Garamond"/>
          <w:b/>
          <w:smallCaps/>
          <w:sz w:val="24"/>
          <w:szCs w:val="24"/>
        </w:rPr>
      </w:pPr>
    </w:p>
    <w:p w14:paraId="368D466B" w14:textId="77777777" w:rsidR="005B00B2" w:rsidRPr="00925180" w:rsidRDefault="005B00B2" w:rsidP="00801584">
      <w:pPr>
        <w:jc w:val="both"/>
        <w:rPr>
          <w:rFonts w:ascii="Garamond" w:hAnsi="Garamond"/>
          <w:b/>
          <w:smallCaps/>
          <w:sz w:val="24"/>
          <w:szCs w:val="24"/>
        </w:rPr>
      </w:pPr>
    </w:p>
    <w:p w14:paraId="3D42813D" w14:textId="29B4053C" w:rsidR="00801584" w:rsidRPr="00925180" w:rsidRDefault="00801584" w:rsidP="00801584">
      <w:pPr>
        <w:jc w:val="both"/>
        <w:rPr>
          <w:rFonts w:ascii="Garamond" w:hAnsi="Garamond"/>
          <w:b/>
          <w:sz w:val="24"/>
          <w:szCs w:val="24"/>
        </w:rPr>
      </w:pPr>
      <w:r w:rsidRPr="00925180">
        <w:rPr>
          <w:rFonts w:ascii="Garamond" w:hAnsi="Garamond"/>
          <w:b/>
          <w:sz w:val="24"/>
          <w:szCs w:val="24"/>
        </w:rPr>
        <w:t>1. L’Anac: istituzione</w:t>
      </w:r>
      <w:r w:rsidR="005B00B2" w:rsidRPr="00925180">
        <w:rPr>
          <w:rFonts w:ascii="Garamond" w:hAnsi="Garamond"/>
          <w:b/>
          <w:sz w:val="24"/>
          <w:szCs w:val="24"/>
        </w:rPr>
        <w:t xml:space="preserve"> e</w:t>
      </w:r>
      <w:r w:rsidRPr="00925180">
        <w:rPr>
          <w:rFonts w:ascii="Garamond" w:hAnsi="Garamond"/>
          <w:b/>
          <w:sz w:val="24"/>
          <w:szCs w:val="24"/>
        </w:rPr>
        <w:t xml:space="preserve"> composizione </w:t>
      </w:r>
    </w:p>
    <w:p w14:paraId="54971EBD" w14:textId="16906880" w:rsidR="00C928E3" w:rsidRPr="00925180" w:rsidRDefault="00C928E3" w:rsidP="00801584">
      <w:pPr>
        <w:jc w:val="both"/>
        <w:rPr>
          <w:rFonts w:ascii="Garamond" w:hAnsi="Garamond"/>
          <w:sz w:val="24"/>
          <w:szCs w:val="24"/>
        </w:rPr>
      </w:pPr>
      <w:r w:rsidRPr="00925180">
        <w:rPr>
          <w:rFonts w:ascii="Garamond" w:hAnsi="Garamond"/>
          <w:sz w:val="24"/>
          <w:szCs w:val="24"/>
        </w:rPr>
        <w:t>Nel corso</w:t>
      </w:r>
      <w:r w:rsidR="009A3B2F" w:rsidRPr="00925180">
        <w:rPr>
          <w:rFonts w:ascii="Garamond" w:hAnsi="Garamond"/>
          <w:sz w:val="24"/>
          <w:szCs w:val="24"/>
        </w:rPr>
        <w:t xml:space="preserve"> della sua (giovane) vita </w:t>
      </w:r>
      <w:r w:rsidRPr="00925180">
        <w:rPr>
          <w:rFonts w:ascii="Garamond" w:hAnsi="Garamond"/>
          <w:sz w:val="24"/>
          <w:szCs w:val="24"/>
        </w:rPr>
        <w:t>l’</w:t>
      </w:r>
      <w:r w:rsidR="00196E49" w:rsidRPr="00925180">
        <w:rPr>
          <w:rFonts w:ascii="Garamond" w:hAnsi="Garamond"/>
          <w:sz w:val="24"/>
          <w:szCs w:val="24"/>
        </w:rPr>
        <w:t xml:space="preserve">Autorità nazionale anticorruzione (di seguito, </w:t>
      </w:r>
      <w:r w:rsidR="0062239B" w:rsidRPr="00925180">
        <w:rPr>
          <w:rFonts w:ascii="Garamond" w:hAnsi="Garamond"/>
          <w:sz w:val="24"/>
          <w:szCs w:val="24"/>
        </w:rPr>
        <w:t>“</w:t>
      </w:r>
      <w:r w:rsidR="00196E49" w:rsidRPr="00925180">
        <w:rPr>
          <w:rFonts w:ascii="Garamond" w:hAnsi="Garamond"/>
          <w:sz w:val="24"/>
          <w:szCs w:val="24"/>
        </w:rPr>
        <w:t>Anac</w:t>
      </w:r>
      <w:r w:rsidR="0062239B" w:rsidRPr="00925180">
        <w:rPr>
          <w:rFonts w:ascii="Garamond" w:hAnsi="Garamond"/>
          <w:sz w:val="24"/>
          <w:szCs w:val="24"/>
        </w:rPr>
        <w:t>”</w:t>
      </w:r>
      <w:r w:rsidR="00196E49" w:rsidRPr="00925180">
        <w:rPr>
          <w:rFonts w:ascii="Garamond" w:hAnsi="Garamond"/>
          <w:sz w:val="24"/>
          <w:szCs w:val="24"/>
        </w:rPr>
        <w:t>)</w:t>
      </w:r>
      <w:r w:rsidR="009A3B2F" w:rsidRPr="00925180">
        <w:rPr>
          <w:rFonts w:ascii="Garamond" w:hAnsi="Garamond"/>
          <w:sz w:val="24"/>
          <w:szCs w:val="24"/>
        </w:rPr>
        <w:t xml:space="preserve"> ha attraversato stagioni politiche e tendenze legislative</w:t>
      </w:r>
      <w:r w:rsidR="0017473A" w:rsidRPr="00925180">
        <w:rPr>
          <w:rFonts w:ascii="Garamond" w:hAnsi="Garamond"/>
          <w:sz w:val="24"/>
          <w:szCs w:val="24"/>
        </w:rPr>
        <w:t xml:space="preserve">, </w:t>
      </w:r>
      <w:r w:rsidR="009A3B2F" w:rsidRPr="00925180">
        <w:rPr>
          <w:rFonts w:ascii="Garamond" w:hAnsi="Garamond"/>
          <w:sz w:val="24"/>
          <w:szCs w:val="24"/>
        </w:rPr>
        <w:t xml:space="preserve">con l’effetto di </w:t>
      </w:r>
      <w:r w:rsidR="00295507" w:rsidRPr="00925180">
        <w:rPr>
          <w:rFonts w:ascii="Garamond" w:hAnsi="Garamond"/>
          <w:sz w:val="24"/>
          <w:szCs w:val="24"/>
        </w:rPr>
        <w:t>alternare</w:t>
      </w:r>
      <w:r w:rsidR="009A3B2F" w:rsidRPr="00925180">
        <w:rPr>
          <w:rFonts w:ascii="Garamond" w:hAnsi="Garamond"/>
          <w:sz w:val="24"/>
          <w:szCs w:val="24"/>
        </w:rPr>
        <w:t xml:space="preserve"> </w:t>
      </w:r>
      <w:r w:rsidRPr="00925180">
        <w:rPr>
          <w:rFonts w:ascii="Garamond" w:hAnsi="Garamond"/>
          <w:sz w:val="24"/>
          <w:szCs w:val="24"/>
        </w:rPr>
        <w:t>momenti di</w:t>
      </w:r>
      <w:r w:rsidR="00196E49" w:rsidRPr="00925180">
        <w:rPr>
          <w:rFonts w:ascii="Garamond" w:hAnsi="Garamond"/>
          <w:sz w:val="24"/>
          <w:szCs w:val="24"/>
        </w:rPr>
        <w:t xml:space="preserve"> </w:t>
      </w:r>
      <w:r w:rsidRPr="00925180">
        <w:rPr>
          <w:rFonts w:ascii="Garamond" w:hAnsi="Garamond"/>
          <w:sz w:val="24"/>
          <w:szCs w:val="24"/>
        </w:rPr>
        <w:t xml:space="preserve">elevato peso istituzionale </w:t>
      </w:r>
      <w:r w:rsidR="00295507" w:rsidRPr="00925180">
        <w:rPr>
          <w:rFonts w:ascii="Garamond" w:hAnsi="Garamond"/>
          <w:sz w:val="24"/>
          <w:szCs w:val="24"/>
        </w:rPr>
        <w:t xml:space="preserve">a </w:t>
      </w:r>
      <w:r w:rsidRPr="00925180">
        <w:rPr>
          <w:rFonts w:ascii="Garamond" w:hAnsi="Garamond"/>
          <w:sz w:val="24"/>
          <w:szCs w:val="24"/>
        </w:rPr>
        <w:t xml:space="preserve">momenti </w:t>
      </w:r>
      <w:r w:rsidR="0017473A" w:rsidRPr="00925180">
        <w:rPr>
          <w:rFonts w:ascii="Garamond" w:hAnsi="Garamond"/>
          <w:sz w:val="24"/>
          <w:szCs w:val="24"/>
        </w:rPr>
        <w:t>in cui</w:t>
      </w:r>
      <w:r w:rsidRPr="00925180">
        <w:rPr>
          <w:rFonts w:ascii="Garamond" w:hAnsi="Garamond"/>
          <w:sz w:val="24"/>
          <w:szCs w:val="24"/>
        </w:rPr>
        <w:t xml:space="preserve"> ha dovuto rivendicare il suo ruolo</w:t>
      </w:r>
      <w:r w:rsidR="00295507" w:rsidRPr="00925180">
        <w:rPr>
          <w:rFonts w:ascii="Garamond" w:hAnsi="Garamond"/>
          <w:sz w:val="24"/>
          <w:szCs w:val="24"/>
        </w:rPr>
        <w:t xml:space="preserve"> nei confronti delle istituzioni parlamentari</w:t>
      </w:r>
      <w:r w:rsidRPr="00925180">
        <w:rPr>
          <w:rFonts w:ascii="Garamond" w:hAnsi="Garamond"/>
          <w:sz w:val="24"/>
          <w:szCs w:val="24"/>
        </w:rPr>
        <w:t>.</w:t>
      </w:r>
      <w:r w:rsidR="00295507" w:rsidRPr="00925180">
        <w:rPr>
          <w:rFonts w:ascii="Garamond" w:hAnsi="Garamond"/>
          <w:sz w:val="24"/>
          <w:szCs w:val="24"/>
        </w:rPr>
        <w:t xml:space="preserve"> </w:t>
      </w:r>
      <w:r w:rsidRPr="00925180">
        <w:rPr>
          <w:rFonts w:ascii="Garamond" w:hAnsi="Garamond"/>
          <w:sz w:val="24"/>
          <w:szCs w:val="24"/>
        </w:rPr>
        <w:t xml:space="preserve">  </w:t>
      </w:r>
    </w:p>
    <w:p w14:paraId="28FE4BFB" w14:textId="611BBC3A" w:rsidR="00196E49" w:rsidRPr="00925180" w:rsidRDefault="00C928E3" w:rsidP="00801584">
      <w:pPr>
        <w:jc w:val="both"/>
        <w:rPr>
          <w:rFonts w:ascii="Garamond" w:hAnsi="Garamond"/>
          <w:sz w:val="20"/>
          <w:szCs w:val="20"/>
        </w:rPr>
      </w:pPr>
      <w:r w:rsidRPr="00925180">
        <w:rPr>
          <w:rFonts w:ascii="Garamond" w:hAnsi="Garamond"/>
          <w:sz w:val="24"/>
          <w:szCs w:val="24"/>
        </w:rPr>
        <w:t xml:space="preserve">La complessità, a dirla tutta, risale alle origini dell’Autorità, che nasce </w:t>
      </w:r>
      <w:r w:rsidR="00196E49" w:rsidRPr="00925180">
        <w:rPr>
          <w:rFonts w:ascii="Garamond" w:hAnsi="Garamond"/>
          <w:sz w:val="24"/>
          <w:szCs w:val="24"/>
        </w:rPr>
        <w:t xml:space="preserve">dalle </w:t>
      </w:r>
      <w:r w:rsidR="00565E0A" w:rsidRPr="00925180">
        <w:rPr>
          <w:rFonts w:ascii="Garamond" w:hAnsi="Garamond"/>
          <w:sz w:val="24"/>
          <w:szCs w:val="24"/>
        </w:rPr>
        <w:t>“</w:t>
      </w:r>
      <w:r w:rsidR="00196E49" w:rsidRPr="00925180">
        <w:rPr>
          <w:rFonts w:ascii="Garamond" w:hAnsi="Garamond"/>
          <w:sz w:val="24"/>
          <w:szCs w:val="24"/>
        </w:rPr>
        <w:t>ceneri</w:t>
      </w:r>
      <w:r w:rsidR="00565E0A" w:rsidRPr="00925180">
        <w:rPr>
          <w:rFonts w:ascii="Garamond" w:hAnsi="Garamond"/>
          <w:sz w:val="24"/>
          <w:szCs w:val="24"/>
        </w:rPr>
        <w:t>”</w:t>
      </w:r>
      <w:r w:rsidR="00196E49" w:rsidRPr="00925180">
        <w:rPr>
          <w:rFonts w:ascii="Garamond" w:hAnsi="Garamond"/>
          <w:sz w:val="24"/>
          <w:szCs w:val="24"/>
        </w:rPr>
        <w:t xml:space="preserve"> d</w:t>
      </w:r>
      <w:r w:rsidR="0062239B" w:rsidRPr="00925180">
        <w:rPr>
          <w:rFonts w:ascii="Garamond" w:hAnsi="Garamond"/>
          <w:sz w:val="24"/>
          <w:szCs w:val="24"/>
        </w:rPr>
        <w:t xml:space="preserve">i due enti tra loro molto diversi per composizione e funzioni: la Civit e </w:t>
      </w:r>
      <w:r w:rsidR="00196E49" w:rsidRPr="00925180">
        <w:rPr>
          <w:rFonts w:ascii="Garamond" w:hAnsi="Garamond"/>
          <w:sz w:val="24"/>
          <w:szCs w:val="24"/>
        </w:rPr>
        <w:t>l’Avcp</w:t>
      </w:r>
      <w:r w:rsidR="00C72FAD" w:rsidRPr="00925180">
        <w:rPr>
          <w:rStyle w:val="Rimandonotaapidipagina"/>
          <w:rFonts w:ascii="Garamond" w:hAnsi="Garamond"/>
          <w:sz w:val="24"/>
          <w:szCs w:val="24"/>
        </w:rPr>
        <w:footnoteReference w:id="2"/>
      </w:r>
      <w:r w:rsidR="00196E49" w:rsidRPr="00925180">
        <w:rPr>
          <w:rFonts w:ascii="Garamond" w:hAnsi="Garamond"/>
          <w:sz w:val="24"/>
          <w:szCs w:val="24"/>
        </w:rPr>
        <w:t>.</w:t>
      </w:r>
    </w:p>
    <w:p w14:paraId="3EB5AE61" w14:textId="49C59065" w:rsidR="002B0A74" w:rsidRPr="00925180" w:rsidRDefault="00196E49" w:rsidP="00801584">
      <w:pPr>
        <w:jc w:val="both"/>
        <w:rPr>
          <w:rFonts w:ascii="Garamond" w:hAnsi="Garamond"/>
          <w:sz w:val="24"/>
          <w:szCs w:val="24"/>
        </w:rPr>
      </w:pPr>
      <w:r w:rsidRPr="00925180">
        <w:rPr>
          <w:rFonts w:ascii="Garamond" w:hAnsi="Garamond"/>
          <w:sz w:val="24"/>
          <w:szCs w:val="24"/>
        </w:rPr>
        <w:t xml:space="preserve">La </w:t>
      </w:r>
      <w:r w:rsidRPr="00925180">
        <w:rPr>
          <w:rFonts w:ascii="Garamond" w:hAnsi="Garamond"/>
          <w:b/>
          <w:sz w:val="24"/>
          <w:szCs w:val="24"/>
        </w:rPr>
        <w:t>Civit</w:t>
      </w:r>
      <w:r w:rsidR="0062239B" w:rsidRPr="00925180">
        <w:rPr>
          <w:rFonts w:ascii="Garamond" w:hAnsi="Garamond"/>
          <w:sz w:val="24"/>
          <w:szCs w:val="24"/>
        </w:rPr>
        <w:t xml:space="preserve">, acronimo per indicare la </w:t>
      </w:r>
      <w:r w:rsidR="0062239B" w:rsidRPr="00925180">
        <w:rPr>
          <w:rFonts w:ascii="Garamond" w:hAnsi="Garamond"/>
          <w:b/>
          <w:sz w:val="24"/>
          <w:szCs w:val="24"/>
        </w:rPr>
        <w:t>Commissione per la Valutazione, la Trasparenza e l’Integrità delle amministrazioni pubbliche</w:t>
      </w:r>
      <w:r w:rsidR="0062239B" w:rsidRPr="00925180">
        <w:rPr>
          <w:rFonts w:ascii="Garamond" w:hAnsi="Garamond"/>
          <w:sz w:val="24"/>
          <w:szCs w:val="24"/>
        </w:rPr>
        <w:t xml:space="preserve">, è stata istituita con </w:t>
      </w:r>
      <w:r w:rsidR="0062239B" w:rsidRPr="00925180">
        <w:rPr>
          <w:rFonts w:ascii="Garamond" w:hAnsi="Garamond"/>
          <w:b/>
          <w:sz w:val="24"/>
          <w:szCs w:val="24"/>
        </w:rPr>
        <w:t>d.lgs. 27 ottobre 2009, n. 150</w:t>
      </w:r>
      <w:r w:rsidR="0062239B" w:rsidRPr="00925180">
        <w:rPr>
          <w:rFonts w:ascii="Garamond" w:hAnsi="Garamond"/>
          <w:sz w:val="24"/>
          <w:szCs w:val="24"/>
        </w:rPr>
        <w:t>, nell’ambito della c</w:t>
      </w:r>
      <w:r w:rsidR="00CF7806" w:rsidRPr="00925180">
        <w:rPr>
          <w:rFonts w:ascii="Garamond" w:hAnsi="Garamond"/>
          <w:sz w:val="24"/>
          <w:szCs w:val="24"/>
        </w:rPr>
        <w:t>osiddetta riforma Brunetta</w:t>
      </w:r>
      <w:r w:rsidR="0054138F" w:rsidRPr="00925180">
        <w:rPr>
          <w:rFonts w:ascii="Garamond" w:hAnsi="Garamond"/>
          <w:sz w:val="24"/>
          <w:szCs w:val="24"/>
        </w:rPr>
        <w:t>,</w:t>
      </w:r>
      <w:r w:rsidR="00CF7806" w:rsidRPr="00925180">
        <w:rPr>
          <w:rFonts w:ascii="Garamond" w:hAnsi="Garamond"/>
          <w:sz w:val="24"/>
          <w:szCs w:val="24"/>
        </w:rPr>
        <w:t xml:space="preserve"> con attribuzioni in materia di</w:t>
      </w:r>
      <w:r w:rsidR="00AD68BE" w:rsidRPr="00925180">
        <w:rPr>
          <w:rFonts w:ascii="Garamond" w:hAnsi="Garamond"/>
          <w:sz w:val="24"/>
          <w:szCs w:val="24"/>
        </w:rPr>
        <w:t xml:space="preserve">: </w:t>
      </w:r>
      <w:r w:rsidR="00AD68BE" w:rsidRPr="00925180">
        <w:rPr>
          <w:rFonts w:ascii="Garamond" w:hAnsi="Garamond"/>
          <w:i/>
          <w:sz w:val="24"/>
          <w:szCs w:val="24"/>
        </w:rPr>
        <w:t>(i)</w:t>
      </w:r>
      <w:r w:rsidR="00CF7806" w:rsidRPr="00925180">
        <w:rPr>
          <w:rFonts w:ascii="Garamond" w:hAnsi="Garamond"/>
          <w:sz w:val="24"/>
          <w:szCs w:val="24"/>
        </w:rPr>
        <w:t xml:space="preserve"> performan</w:t>
      </w:r>
      <w:r w:rsidR="001C064E" w:rsidRPr="00925180">
        <w:rPr>
          <w:rFonts w:ascii="Garamond" w:hAnsi="Garamond"/>
          <w:sz w:val="24"/>
          <w:szCs w:val="24"/>
        </w:rPr>
        <w:t xml:space="preserve">ce; </w:t>
      </w:r>
      <w:r w:rsidR="00AD68BE" w:rsidRPr="00925180">
        <w:rPr>
          <w:rFonts w:ascii="Garamond" w:hAnsi="Garamond"/>
          <w:i/>
          <w:sz w:val="24"/>
          <w:szCs w:val="24"/>
        </w:rPr>
        <w:t>(ii)</w:t>
      </w:r>
      <w:r w:rsidR="00AD68BE" w:rsidRPr="00925180">
        <w:rPr>
          <w:rFonts w:ascii="Garamond" w:hAnsi="Garamond"/>
          <w:sz w:val="24"/>
          <w:szCs w:val="24"/>
        </w:rPr>
        <w:t xml:space="preserve"> </w:t>
      </w:r>
      <w:r w:rsidR="00CF7806" w:rsidRPr="00925180">
        <w:rPr>
          <w:rFonts w:ascii="Garamond" w:hAnsi="Garamond"/>
          <w:sz w:val="24"/>
          <w:szCs w:val="24"/>
        </w:rPr>
        <w:t>trasparenza delle pubbliche amministrazioni</w:t>
      </w:r>
      <w:r w:rsidR="001C064E" w:rsidRPr="00925180">
        <w:rPr>
          <w:rFonts w:ascii="Garamond" w:hAnsi="Garamond"/>
          <w:sz w:val="24"/>
          <w:szCs w:val="24"/>
        </w:rPr>
        <w:t xml:space="preserve">; </w:t>
      </w:r>
      <w:r w:rsidR="003A7246" w:rsidRPr="00925180">
        <w:rPr>
          <w:rFonts w:ascii="Garamond" w:hAnsi="Garamond"/>
          <w:i/>
          <w:sz w:val="24"/>
          <w:szCs w:val="24"/>
        </w:rPr>
        <w:t>(</w:t>
      </w:r>
      <w:r w:rsidR="001C064E" w:rsidRPr="00925180">
        <w:rPr>
          <w:rFonts w:ascii="Garamond" w:hAnsi="Garamond"/>
          <w:i/>
          <w:sz w:val="24"/>
          <w:szCs w:val="24"/>
        </w:rPr>
        <w:t>iii)</w:t>
      </w:r>
      <w:r w:rsidR="001C064E" w:rsidRPr="00925180">
        <w:rPr>
          <w:rFonts w:ascii="Garamond" w:hAnsi="Garamond"/>
          <w:sz w:val="24"/>
          <w:szCs w:val="24"/>
        </w:rPr>
        <w:t xml:space="preserve"> qualità dei servizi pubblici</w:t>
      </w:r>
      <w:r w:rsidR="00CF7806" w:rsidRPr="00925180">
        <w:rPr>
          <w:rFonts w:ascii="Garamond" w:hAnsi="Garamond"/>
          <w:sz w:val="24"/>
          <w:szCs w:val="24"/>
        </w:rPr>
        <w:t xml:space="preserve">. In particolare, l’art. 13 del d.lgs. n. 150/2009 </w:t>
      </w:r>
      <w:r w:rsidR="002B0A74" w:rsidRPr="00925180">
        <w:rPr>
          <w:rFonts w:ascii="Garamond" w:hAnsi="Garamond"/>
          <w:sz w:val="24"/>
          <w:szCs w:val="24"/>
        </w:rPr>
        <w:t>rimetteva</w:t>
      </w:r>
      <w:r w:rsidR="00CF7806" w:rsidRPr="00925180">
        <w:rPr>
          <w:rFonts w:ascii="Garamond" w:hAnsi="Garamond"/>
          <w:sz w:val="24"/>
          <w:szCs w:val="24"/>
        </w:rPr>
        <w:t xml:space="preserve"> alla stessa</w:t>
      </w:r>
      <w:r w:rsidR="005A2E8A" w:rsidRPr="00925180">
        <w:rPr>
          <w:rFonts w:ascii="Garamond" w:hAnsi="Garamond"/>
          <w:sz w:val="24"/>
          <w:szCs w:val="24"/>
        </w:rPr>
        <w:t xml:space="preserve"> la funzione di indirizzare, coordinare e sovrintendere all’esercizio indipendente delle funzioni di valutazione delle amministrazioni</w:t>
      </w:r>
      <w:r w:rsidR="00AD68BE" w:rsidRPr="00925180">
        <w:rPr>
          <w:rFonts w:ascii="Garamond" w:hAnsi="Garamond"/>
          <w:sz w:val="24"/>
          <w:szCs w:val="24"/>
        </w:rPr>
        <w:t>, garantendo</w:t>
      </w:r>
      <w:r w:rsidR="005A2E8A" w:rsidRPr="00925180">
        <w:rPr>
          <w:rFonts w:ascii="Garamond" w:hAnsi="Garamond"/>
          <w:sz w:val="24"/>
          <w:szCs w:val="24"/>
        </w:rPr>
        <w:t xml:space="preserve"> la trasparenza dei sistemi di valutazione, la comparabilità e la visibilità degli indici di andamento gestionale. A tali attribuzioni si affianca</w:t>
      </w:r>
      <w:r w:rsidR="002B0A74" w:rsidRPr="00925180">
        <w:rPr>
          <w:rFonts w:ascii="Garamond" w:hAnsi="Garamond"/>
          <w:sz w:val="24"/>
          <w:szCs w:val="24"/>
        </w:rPr>
        <w:t>va</w:t>
      </w:r>
      <w:r w:rsidR="005A2E8A" w:rsidRPr="00925180">
        <w:rPr>
          <w:rFonts w:ascii="Garamond" w:hAnsi="Garamond"/>
          <w:sz w:val="24"/>
          <w:szCs w:val="24"/>
        </w:rPr>
        <w:t xml:space="preserve"> il compito di garantire la trasparenza totale delle amministrazioni, </w:t>
      </w:r>
      <w:r w:rsidR="00AD68BE" w:rsidRPr="00925180">
        <w:rPr>
          <w:rFonts w:ascii="Garamond" w:hAnsi="Garamond"/>
          <w:sz w:val="24"/>
          <w:szCs w:val="24"/>
        </w:rPr>
        <w:t xml:space="preserve">nella sua accezione sostanziale, tipica di quel momento storico, </w:t>
      </w:r>
      <w:r w:rsidR="0054138F" w:rsidRPr="00925180">
        <w:rPr>
          <w:rFonts w:ascii="Garamond" w:hAnsi="Garamond"/>
          <w:sz w:val="24"/>
          <w:szCs w:val="24"/>
        </w:rPr>
        <w:t>di</w:t>
      </w:r>
      <w:r w:rsidR="00AD68BE" w:rsidRPr="00925180">
        <w:rPr>
          <w:rFonts w:ascii="Garamond" w:hAnsi="Garamond"/>
          <w:sz w:val="24"/>
          <w:szCs w:val="24"/>
        </w:rPr>
        <w:t xml:space="preserve"> </w:t>
      </w:r>
      <w:r w:rsidR="0054138F" w:rsidRPr="00925180">
        <w:rPr>
          <w:rFonts w:ascii="Garamond" w:hAnsi="Garamond"/>
          <w:sz w:val="24"/>
          <w:szCs w:val="24"/>
        </w:rPr>
        <w:t>“</w:t>
      </w:r>
      <w:r w:rsidR="005A2E8A" w:rsidRPr="00925180">
        <w:rPr>
          <w:rFonts w:ascii="Garamond" w:hAnsi="Garamond"/>
          <w:sz w:val="24"/>
          <w:szCs w:val="24"/>
        </w:rPr>
        <w:t>accessibilità dei dati</w:t>
      </w:r>
      <w:r w:rsidR="001C064E" w:rsidRPr="00925180">
        <w:rPr>
          <w:rFonts w:ascii="Garamond" w:hAnsi="Garamond"/>
          <w:sz w:val="24"/>
          <w:szCs w:val="24"/>
        </w:rPr>
        <w:t xml:space="preserve"> inerenti al loro funzionamento</w:t>
      </w:r>
      <w:r w:rsidR="0054138F" w:rsidRPr="00925180">
        <w:rPr>
          <w:rFonts w:ascii="Garamond" w:hAnsi="Garamond"/>
          <w:sz w:val="24"/>
          <w:szCs w:val="24"/>
        </w:rPr>
        <w:t>”</w:t>
      </w:r>
      <w:r w:rsidR="001C064E" w:rsidRPr="00925180">
        <w:rPr>
          <w:rFonts w:ascii="Garamond" w:hAnsi="Garamond"/>
          <w:sz w:val="24"/>
          <w:szCs w:val="24"/>
        </w:rPr>
        <w:t xml:space="preserve">, nonché </w:t>
      </w:r>
      <w:r w:rsidR="0054138F" w:rsidRPr="00925180">
        <w:rPr>
          <w:rFonts w:ascii="Garamond" w:hAnsi="Garamond"/>
          <w:sz w:val="24"/>
          <w:szCs w:val="24"/>
        </w:rPr>
        <w:t xml:space="preserve">l’ulteriore compito </w:t>
      </w:r>
      <w:r w:rsidR="003A7246" w:rsidRPr="00925180">
        <w:rPr>
          <w:rFonts w:ascii="Garamond" w:hAnsi="Garamond"/>
          <w:sz w:val="24"/>
          <w:szCs w:val="24"/>
        </w:rPr>
        <w:t>di regolamentare gli strumenti per la qualità dei servizi pubblici</w:t>
      </w:r>
      <w:r w:rsidR="001C064E" w:rsidRPr="00925180">
        <w:rPr>
          <w:rFonts w:ascii="Garamond" w:hAnsi="Garamond"/>
          <w:sz w:val="24"/>
          <w:szCs w:val="24"/>
        </w:rPr>
        <w:t>.</w:t>
      </w:r>
      <w:r w:rsidR="0062239B" w:rsidRPr="00925180">
        <w:rPr>
          <w:rFonts w:ascii="Garamond" w:hAnsi="Garamond"/>
          <w:sz w:val="24"/>
          <w:szCs w:val="24"/>
        </w:rPr>
        <w:t xml:space="preserve"> </w:t>
      </w:r>
      <w:r w:rsidR="0004145B" w:rsidRPr="00925180">
        <w:rPr>
          <w:rFonts w:ascii="Garamond" w:hAnsi="Garamond"/>
          <w:sz w:val="24"/>
          <w:szCs w:val="24"/>
        </w:rPr>
        <w:t>Nell’esercizio di tali funzioni</w:t>
      </w:r>
      <w:r w:rsidR="001C064E" w:rsidRPr="00925180">
        <w:rPr>
          <w:rFonts w:ascii="Garamond" w:hAnsi="Garamond"/>
          <w:sz w:val="24"/>
          <w:szCs w:val="24"/>
        </w:rPr>
        <w:t xml:space="preserve"> la Civit ha pubblicato svariate linee guida, in materia di sistemi di misurazione e valutazione della performance, piano e relazione di performance, OIV, </w:t>
      </w:r>
      <w:r w:rsidR="0054138F" w:rsidRPr="00925180">
        <w:rPr>
          <w:rFonts w:ascii="Garamond" w:hAnsi="Garamond"/>
          <w:sz w:val="24"/>
          <w:szCs w:val="24"/>
        </w:rPr>
        <w:t xml:space="preserve">contribuendo </w:t>
      </w:r>
      <w:r w:rsidR="00565E0A" w:rsidRPr="00925180">
        <w:rPr>
          <w:rFonts w:ascii="Garamond" w:hAnsi="Garamond"/>
          <w:sz w:val="24"/>
          <w:szCs w:val="24"/>
        </w:rPr>
        <w:t xml:space="preserve">così </w:t>
      </w:r>
      <w:r w:rsidR="0054138F" w:rsidRPr="00925180">
        <w:rPr>
          <w:rFonts w:ascii="Garamond" w:hAnsi="Garamond"/>
          <w:sz w:val="24"/>
          <w:szCs w:val="24"/>
        </w:rPr>
        <w:t>alla diffusione di una cultura della trasparenza e del merito.</w:t>
      </w:r>
      <w:r w:rsidR="002B0A74" w:rsidRPr="00925180">
        <w:rPr>
          <w:rFonts w:ascii="Garamond" w:hAnsi="Garamond"/>
          <w:sz w:val="24"/>
          <w:szCs w:val="24"/>
        </w:rPr>
        <w:t xml:space="preserve"> </w:t>
      </w:r>
    </w:p>
    <w:p w14:paraId="5AEFA30B" w14:textId="5F91C1BF" w:rsidR="00AD68BE" w:rsidRPr="00925180" w:rsidRDefault="002B0A74" w:rsidP="00801584">
      <w:pPr>
        <w:jc w:val="both"/>
        <w:rPr>
          <w:rFonts w:ascii="Garamond" w:hAnsi="Garamond"/>
          <w:sz w:val="24"/>
          <w:szCs w:val="24"/>
        </w:rPr>
      </w:pPr>
      <w:r w:rsidRPr="00925180">
        <w:rPr>
          <w:rFonts w:ascii="Garamond" w:hAnsi="Garamond"/>
          <w:sz w:val="24"/>
          <w:szCs w:val="24"/>
        </w:rPr>
        <w:t xml:space="preserve">Con la </w:t>
      </w:r>
      <w:r w:rsidRPr="00925180">
        <w:rPr>
          <w:rFonts w:ascii="Garamond" w:hAnsi="Garamond"/>
          <w:b/>
          <w:sz w:val="24"/>
          <w:szCs w:val="24"/>
        </w:rPr>
        <w:t>legge anticorruzione 28 novembre 2012, n. 190</w:t>
      </w:r>
      <w:r w:rsidR="00565E0A" w:rsidRPr="00925180">
        <w:rPr>
          <w:rFonts w:ascii="Garamond" w:hAnsi="Garamond"/>
          <w:sz w:val="24"/>
          <w:szCs w:val="24"/>
        </w:rPr>
        <w:t xml:space="preserve"> </w:t>
      </w:r>
      <w:r w:rsidRPr="00925180">
        <w:rPr>
          <w:rFonts w:ascii="Garamond" w:hAnsi="Garamond"/>
          <w:sz w:val="24"/>
          <w:szCs w:val="24"/>
        </w:rPr>
        <w:t>alla medesima Commissione è stato assegnato altresì il compito di monitorare il rispetto delle disposizioni in tema di prevenzione della corruzione e della trasparenza. Funzione, questa, da esercitarsi congiuntamente con il Dipartimento della funzione pubblica, cui pure erano assegnati significativi poteri in materia, in primo luogo quello di adottare il piano nazionale della prevenzione a cui tutte le amministrazioni pubbliche dovevano far riferimento per stilare i propri piani.</w:t>
      </w:r>
    </w:p>
    <w:p w14:paraId="364EB4BD" w14:textId="6F3C2C24" w:rsidR="0054138F" w:rsidRPr="00925180" w:rsidRDefault="0062239B" w:rsidP="0054138F">
      <w:pPr>
        <w:jc w:val="both"/>
        <w:rPr>
          <w:rFonts w:ascii="Garamond" w:hAnsi="Garamond"/>
          <w:sz w:val="24"/>
          <w:szCs w:val="24"/>
        </w:rPr>
      </w:pPr>
      <w:r w:rsidRPr="00925180">
        <w:rPr>
          <w:rFonts w:ascii="Garamond" w:hAnsi="Garamond"/>
          <w:sz w:val="24"/>
          <w:szCs w:val="24"/>
        </w:rPr>
        <w:t>A sua volta</w:t>
      </w:r>
      <w:r w:rsidR="002B0A74" w:rsidRPr="00925180">
        <w:rPr>
          <w:rFonts w:ascii="Garamond" w:hAnsi="Garamond"/>
          <w:sz w:val="24"/>
          <w:szCs w:val="24"/>
        </w:rPr>
        <w:t xml:space="preserve"> già esisteva da tempo</w:t>
      </w:r>
      <w:r w:rsidRPr="00925180">
        <w:rPr>
          <w:rFonts w:ascii="Garamond" w:hAnsi="Garamond"/>
          <w:sz w:val="24"/>
          <w:szCs w:val="24"/>
        </w:rPr>
        <w:t xml:space="preserve"> l</w:t>
      </w:r>
      <w:r w:rsidR="00196E49" w:rsidRPr="00925180">
        <w:rPr>
          <w:rFonts w:ascii="Garamond" w:hAnsi="Garamond"/>
          <w:sz w:val="24"/>
          <w:szCs w:val="24"/>
        </w:rPr>
        <w:t>’</w:t>
      </w:r>
      <w:r w:rsidR="00196E49" w:rsidRPr="00925180">
        <w:rPr>
          <w:rFonts w:ascii="Garamond" w:hAnsi="Garamond"/>
          <w:b/>
          <w:sz w:val="24"/>
          <w:szCs w:val="24"/>
        </w:rPr>
        <w:t>Avcp</w:t>
      </w:r>
      <w:r w:rsidRPr="00925180">
        <w:rPr>
          <w:rFonts w:ascii="Garamond" w:hAnsi="Garamond"/>
          <w:sz w:val="24"/>
          <w:szCs w:val="24"/>
        </w:rPr>
        <w:t>, acronimo</w:t>
      </w:r>
      <w:r w:rsidR="00196E49" w:rsidRPr="00925180">
        <w:rPr>
          <w:rFonts w:ascii="Garamond" w:hAnsi="Garamond"/>
          <w:sz w:val="24"/>
          <w:szCs w:val="24"/>
        </w:rPr>
        <w:t xml:space="preserve"> </w:t>
      </w:r>
      <w:r w:rsidR="0054138F" w:rsidRPr="00925180">
        <w:rPr>
          <w:rFonts w:ascii="Garamond" w:hAnsi="Garamond"/>
          <w:sz w:val="24"/>
          <w:szCs w:val="24"/>
        </w:rPr>
        <w:t xml:space="preserve">che sta per </w:t>
      </w:r>
      <w:r w:rsidR="0054138F" w:rsidRPr="00925180">
        <w:rPr>
          <w:rFonts w:ascii="Garamond" w:hAnsi="Garamond"/>
          <w:b/>
          <w:sz w:val="24"/>
          <w:szCs w:val="24"/>
        </w:rPr>
        <w:t xml:space="preserve">Autorità di vigilanza sui </w:t>
      </w:r>
      <w:r w:rsidR="003C2122" w:rsidRPr="00925180">
        <w:rPr>
          <w:rFonts w:ascii="Garamond" w:hAnsi="Garamond"/>
          <w:b/>
          <w:sz w:val="24"/>
          <w:szCs w:val="24"/>
        </w:rPr>
        <w:t>contratti</w:t>
      </w:r>
      <w:r w:rsidR="0054138F" w:rsidRPr="00925180">
        <w:rPr>
          <w:rFonts w:ascii="Garamond" w:hAnsi="Garamond"/>
          <w:b/>
          <w:sz w:val="24"/>
          <w:szCs w:val="24"/>
        </w:rPr>
        <w:t xml:space="preserve"> pubblici</w:t>
      </w:r>
      <w:r w:rsidR="00CE0733" w:rsidRPr="00925180">
        <w:rPr>
          <w:rFonts w:ascii="Garamond" w:hAnsi="Garamond"/>
          <w:sz w:val="24"/>
          <w:szCs w:val="24"/>
        </w:rPr>
        <w:t xml:space="preserve">, </w:t>
      </w:r>
      <w:r w:rsidR="00196E49" w:rsidRPr="00925180">
        <w:rPr>
          <w:rFonts w:ascii="Garamond" w:hAnsi="Garamond"/>
          <w:sz w:val="24"/>
          <w:szCs w:val="24"/>
        </w:rPr>
        <w:t xml:space="preserve">nata </w:t>
      </w:r>
      <w:r w:rsidR="002B0A74" w:rsidRPr="00925180">
        <w:rPr>
          <w:rFonts w:ascii="Garamond" w:hAnsi="Garamond"/>
          <w:sz w:val="24"/>
          <w:szCs w:val="24"/>
        </w:rPr>
        <w:t xml:space="preserve">in pieno clima post Tangentopoli </w:t>
      </w:r>
      <w:r w:rsidR="00196E49" w:rsidRPr="00925180">
        <w:rPr>
          <w:rFonts w:ascii="Garamond" w:hAnsi="Garamond"/>
          <w:sz w:val="24"/>
          <w:szCs w:val="24"/>
        </w:rPr>
        <w:t>con</w:t>
      </w:r>
      <w:r w:rsidR="0054138F" w:rsidRPr="00925180">
        <w:rPr>
          <w:rFonts w:ascii="Garamond" w:hAnsi="Garamond"/>
          <w:sz w:val="24"/>
          <w:szCs w:val="24"/>
        </w:rPr>
        <w:t xml:space="preserve"> </w:t>
      </w:r>
      <w:r w:rsidR="0054138F" w:rsidRPr="00925180">
        <w:rPr>
          <w:rFonts w:ascii="Garamond" w:hAnsi="Garamond"/>
          <w:b/>
          <w:sz w:val="24"/>
          <w:szCs w:val="24"/>
        </w:rPr>
        <w:t>legge</w:t>
      </w:r>
      <w:r w:rsidR="002B0A74" w:rsidRPr="00925180">
        <w:rPr>
          <w:rFonts w:ascii="Garamond" w:hAnsi="Garamond"/>
          <w:b/>
          <w:sz w:val="24"/>
          <w:szCs w:val="24"/>
        </w:rPr>
        <w:t xml:space="preserve"> 11 febbraio 1994</w:t>
      </w:r>
      <w:r w:rsidR="0054138F" w:rsidRPr="00925180">
        <w:rPr>
          <w:rFonts w:ascii="Garamond" w:hAnsi="Garamond"/>
          <w:b/>
          <w:sz w:val="24"/>
          <w:szCs w:val="24"/>
        </w:rPr>
        <w:t>, n. 109</w:t>
      </w:r>
      <w:r w:rsidR="0054138F" w:rsidRPr="00925180">
        <w:rPr>
          <w:rFonts w:ascii="Garamond" w:hAnsi="Garamond"/>
          <w:sz w:val="24"/>
          <w:szCs w:val="24"/>
        </w:rPr>
        <w:t>, la cosiddetta </w:t>
      </w:r>
      <w:hyperlink r:id="rId11" w:tooltip="Legge Merloni" w:history="1">
        <w:r w:rsidR="0054138F" w:rsidRPr="00925180">
          <w:rPr>
            <w:rFonts w:ascii="Garamond" w:hAnsi="Garamond"/>
            <w:sz w:val="24"/>
            <w:szCs w:val="24"/>
          </w:rPr>
          <w:t>legge Merloni</w:t>
        </w:r>
      </w:hyperlink>
      <w:r w:rsidR="002B0A74" w:rsidRPr="00925180">
        <w:rPr>
          <w:rFonts w:ascii="Garamond" w:hAnsi="Garamond"/>
          <w:sz w:val="24"/>
          <w:szCs w:val="24"/>
        </w:rPr>
        <w:t xml:space="preserve">, </w:t>
      </w:r>
      <w:r w:rsidR="0054138F" w:rsidRPr="00925180">
        <w:rPr>
          <w:rFonts w:ascii="Garamond" w:hAnsi="Garamond"/>
          <w:sz w:val="24"/>
          <w:szCs w:val="24"/>
        </w:rPr>
        <w:t xml:space="preserve">allo scopo di vigilare </w:t>
      </w:r>
      <w:r w:rsidR="002B0A74" w:rsidRPr="00925180">
        <w:rPr>
          <w:rFonts w:ascii="Garamond" w:hAnsi="Garamond"/>
          <w:sz w:val="24"/>
          <w:szCs w:val="24"/>
        </w:rPr>
        <w:t xml:space="preserve">sul </w:t>
      </w:r>
      <w:r w:rsidR="0054138F" w:rsidRPr="00925180">
        <w:rPr>
          <w:rFonts w:ascii="Garamond" w:hAnsi="Garamond"/>
          <w:sz w:val="24"/>
          <w:szCs w:val="24"/>
        </w:rPr>
        <w:t>settore dei lavori pubblici di opere e costruzioni. Con l'approvazione del n</w:t>
      </w:r>
      <w:r w:rsidR="002B0A74" w:rsidRPr="00925180">
        <w:rPr>
          <w:rFonts w:ascii="Garamond" w:hAnsi="Garamond"/>
          <w:sz w:val="24"/>
          <w:szCs w:val="24"/>
        </w:rPr>
        <w:t>uovo C</w:t>
      </w:r>
      <w:r w:rsidR="0054138F" w:rsidRPr="00925180">
        <w:rPr>
          <w:rFonts w:ascii="Garamond" w:hAnsi="Garamond"/>
          <w:sz w:val="24"/>
          <w:szCs w:val="24"/>
        </w:rPr>
        <w:t>odice dei contratti pubblici di lavori, servizi e forniture, il d.lgs. n. 12 aprile 2006, n. 1</w:t>
      </w:r>
      <w:r w:rsidR="002B0A74" w:rsidRPr="00925180">
        <w:rPr>
          <w:rFonts w:ascii="Garamond" w:hAnsi="Garamond"/>
          <w:sz w:val="24"/>
          <w:szCs w:val="24"/>
        </w:rPr>
        <w:t xml:space="preserve">63, la </w:t>
      </w:r>
      <w:r w:rsidR="002B0A74" w:rsidRPr="00925180">
        <w:rPr>
          <w:rFonts w:ascii="Garamond" w:hAnsi="Garamond"/>
          <w:sz w:val="24"/>
          <w:szCs w:val="24"/>
        </w:rPr>
        <w:lastRenderedPageBreak/>
        <w:t>struttura dell'A</w:t>
      </w:r>
      <w:r w:rsidR="00565E0A" w:rsidRPr="00925180">
        <w:rPr>
          <w:rFonts w:ascii="Garamond" w:hAnsi="Garamond"/>
          <w:sz w:val="24"/>
          <w:szCs w:val="24"/>
        </w:rPr>
        <w:t>vcp</w:t>
      </w:r>
      <w:r w:rsidR="002B0A74" w:rsidRPr="00925180">
        <w:rPr>
          <w:rFonts w:ascii="Garamond" w:hAnsi="Garamond"/>
          <w:sz w:val="24"/>
          <w:szCs w:val="24"/>
        </w:rPr>
        <w:t xml:space="preserve"> è stata </w:t>
      </w:r>
      <w:r w:rsidR="0054138F" w:rsidRPr="00925180">
        <w:rPr>
          <w:rFonts w:ascii="Garamond" w:hAnsi="Garamond"/>
          <w:sz w:val="24"/>
          <w:szCs w:val="24"/>
        </w:rPr>
        <w:t xml:space="preserve">completamente riorganizzata per ampliare le sue funzioni, non più limitate ai lavori, </w:t>
      </w:r>
      <w:r w:rsidR="002B0A74" w:rsidRPr="00925180">
        <w:rPr>
          <w:rFonts w:ascii="Garamond" w:hAnsi="Garamond"/>
          <w:sz w:val="24"/>
          <w:szCs w:val="24"/>
        </w:rPr>
        <w:t>ma estese</w:t>
      </w:r>
      <w:r w:rsidR="0054138F" w:rsidRPr="00925180">
        <w:rPr>
          <w:rFonts w:ascii="Garamond" w:hAnsi="Garamond"/>
          <w:sz w:val="24"/>
          <w:szCs w:val="24"/>
        </w:rPr>
        <w:t xml:space="preserve"> anche alle forniture di beni e di servizi, includendo, in pratica, qualunque tipo di appalto </w:t>
      </w:r>
      <w:r w:rsidR="002B0A74" w:rsidRPr="00925180">
        <w:rPr>
          <w:rFonts w:ascii="Garamond" w:hAnsi="Garamond"/>
          <w:sz w:val="24"/>
          <w:szCs w:val="24"/>
        </w:rPr>
        <w:t>pubblico</w:t>
      </w:r>
      <w:r w:rsidR="00CE0733" w:rsidRPr="00925180">
        <w:rPr>
          <w:rFonts w:ascii="Garamond" w:hAnsi="Garamond"/>
          <w:sz w:val="24"/>
          <w:szCs w:val="24"/>
        </w:rPr>
        <w:t xml:space="preserve"> e concessione</w:t>
      </w:r>
      <w:r w:rsidR="002B0A74" w:rsidRPr="00925180">
        <w:rPr>
          <w:rFonts w:ascii="Garamond" w:hAnsi="Garamond"/>
          <w:sz w:val="24"/>
          <w:szCs w:val="24"/>
        </w:rPr>
        <w:t>.</w:t>
      </w:r>
    </w:p>
    <w:p w14:paraId="0478850A" w14:textId="77777777" w:rsidR="00196E49" w:rsidRPr="00925180" w:rsidRDefault="003C2122" w:rsidP="00801584">
      <w:pPr>
        <w:jc w:val="both"/>
        <w:rPr>
          <w:rFonts w:ascii="Garamond" w:hAnsi="Garamond"/>
          <w:sz w:val="24"/>
          <w:szCs w:val="24"/>
        </w:rPr>
      </w:pPr>
      <w:r w:rsidRPr="00925180">
        <w:rPr>
          <w:rFonts w:ascii="Garamond" w:hAnsi="Garamond"/>
          <w:sz w:val="24"/>
          <w:szCs w:val="24"/>
        </w:rPr>
        <w:t xml:space="preserve">Tutti e due gli enti, Civit e Avcp, </w:t>
      </w:r>
      <w:r w:rsidR="002B0A74" w:rsidRPr="00925180">
        <w:rPr>
          <w:rFonts w:ascii="Garamond" w:hAnsi="Garamond"/>
          <w:sz w:val="24"/>
          <w:szCs w:val="24"/>
        </w:rPr>
        <w:t>operavano in una posizione di indipendenza dal potere politico, che veniva garantita, tra l’altro, dalla</w:t>
      </w:r>
      <w:r w:rsidRPr="00925180">
        <w:rPr>
          <w:rFonts w:ascii="Garamond" w:hAnsi="Garamond"/>
          <w:sz w:val="24"/>
          <w:szCs w:val="24"/>
        </w:rPr>
        <w:t xml:space="preserve"> procedura seguita per la</w:t>
      </w:r>
      <w:r w:rsidR="002B0A74" w:rsidRPr="00925180">
        <w:rPr>
          <w:rFonts w:ascii="Garamond" w:hAnsi="Garamond"/>
          <w:sz w:val="24"/>
          <w:szCs w:val="24"/>
        </w:rPr>
        <w:t xml:space="preserve"> nomina dei componenti posti al vertice.</w:t>
      </w:r>
    </w:p>
    <w:p w14:paraId="1E9483F6" w14:textId="5E6242A7" w:rsidR="00196E49" w:rsidRPr="00925180" w:rsidRDefault="00196E49" w:rsidP="00801584">
      <w:pPr>
        <w:jc w:val="both"/>
        <w:rPr>
          <w:rFonts w:ascii="Garamond" w:hAnsi="Garamond"/>
          <w:sz w:val="24"/>
          <w:szCs w:val="24"/>
        </w:rPr>
      </w:pPr>
      <w:r w:rsidRPr="00925180">
        <w:rPr>
          <w:rFonts w:ascii="Garamond" w:hAnsi="Garamond"/>
          <w:sz w:val="24"/>
          <w:szCs w:val="24"/>
        </w:rPr>
        <w:t>La riunione delle funzioni di tali due enti</w:t>
      </w:r>
      <w:r w:rsidR="003C2122" w:rsidRPr="00925180">
        <w:rPr>
          <w:rFonts w:ascii="Garamond" w:hAnsi="Garamond"/>
          <w:sz w:val="24"/>
          <w:szCs w:val="24"/>
        </w:rPr>
        <w:t xml:space="preserve"> in capo all’Anac, attraverso la trasformazione dell’uno</w:t>
      </w:r>
      <w:r w:rsidR="00565E0A" w:rsidRPr="00925180">
        <w:rPr>
          <w:rFonts w:ascii="Garamond" w:hAnsi="Garamond"/>
          <w:sz w:val="24"/>
          <w:szCs w:val="24"/>
        </w:rPr>
        <w:t xml:space="preserve"> (la Civit)</w:t>
      </w:r>
      <w:r w:rsidR="003C2122" w:rsidRPr="00925180">
        <w:rPr>
          <w:rFonts w:ascii="Garamond" w:hAnsi="Garamond"/>
          <w:sz w:val="24"/>
          <w:szCs w:val="24"/>
        </w:rPr>
        <w:t xml:space="preserve"> e l’estinzione </w:t>
      </w:r>
      <w:r w:rsidR="00565E0A" w:rsidRPr="00925180">
        <w:rPr>
          <w:rFonts w:ascii="Garamond" w:hAnsi="Garamond"/>
          <w:sz w:val="24"/>
          <w:szCs w:val="24"/>
        </w:rPr>
        <w:t>dell’altro (l’Avcp)</w:t>
      </w:r>
      <w:r w:rsidR="003C2122" w:rsidRPr="00925180">
        <w:rPr>
          <w:rFonts w:ascii="Garamond" w:hAnsi="Garamond"/>
          <w:sz w:val="24"/>
          <w:szCs w:val="24"/>
        </w:rPr>
        <w:t>,</w:t>
      </w:r>
      <w:r w:rsidRPr="00925180">
        <w:rPr>
          <w:rFonts w:ascii="Garamond" w:hAnsi="Garamond"/>
          <w:sz w:val="24"/>
          <w:szCs w:val="24"/>
        </w:rPr>
        <w:t xml:space="preserve"> si fa risalire alla l. n. 190/2012</w:t>
      </w:r>
      <w:r w:rsidR="005D7E41" w:rsidRPr="00925180">
        <w:rPr>
          <w:rStyle w:val="Rimandonotaapidipagina"/>
          <w:rFonts w:ascii="Garamond" w:hAnsi="Garamond"/>
          <w:sz w:val="24"/>
          <w:szCs w:val="24"/>
        </w:rPr>
        <w:footnoteReference w:id="3"/>
      </w:r>
      <w:r w:rsidRPr="00925180">
        <w:rPr>
          <w:rFonts w:ascii="Garamond" w:hAnsi="Garamond"/>
          <w:sz w:val="24"/>
          <w:szCs w:val="24"/>
        </w:rPr>
        <w:t xml:space="preserve"> e</w:t>
      </w:r>
      <w:r w:rsidR="003C2122" w:rsidRPr="00925180">
        <w:rPr>
          <w:rFonts w:ascii="Garamond" w:hAnsi="Garamond"/>
          <w:sz w:val="24"/>
          <w:szCs w:val="24"/>
        </w:rPr>
        <w:t>, a monte,</w:t>
      </w:r>
      <w:r w:rsidRPr="00925180">
        <w:rPr>
          <w:rFonts w:ascii="Garamond" w:hAnsi="Garamond"/>
          <w:sz w:val="24"/>
          <w:szCs w:val="24"/>
        </w:rPr>
        <w:t xml:space="preserve"> all’attenzione al tema anticorr</w:t>
      </w:r>
      <w:r w:rsidR="003C2122" w:rsidRPr="00925180">
        <w:rPr>
          <w:rFonts w:ascii="Garamond" w:hAnsi="Garamond"/>
          <w:sz w:val="24"/>
          <w:szCs w:val="24"/>
        </w:rPr>
        <w:t>uzione a livello sovranazionale</w:t>
      </w:r>
      <w:r w:rsidR="007F3AED" w:rsidRPr="00925180">
        <w:rPr>
          <w:rFonts w:ascii="Garamond" w:hAnsi="Garamond"/>
          <w:sz w:val="24"/>
          <w:szCs w:val="24"/>
        </w:rPr>
        <w:t>,</w:t>
      </w:r>
      <w:r w:rsidR="003C2122" w:rsidRPr="00925180">
        <w:rPr>
          <w:rFonts w:ascii="Garamond" w:hAnsi="Garamond"/>
          <w:sz w:val="24"/>
          <w:szCs w:val="24"/>
        </w:rPr>
        <w:t xml:space="preserve"> sintetizzata dalla Convenzione OCSE sulla lotta alla corruzione del 1997 (ratificata con l. 29 settembre 2000, n. 300); dalla Convenzione del Consiglio d’Europa per il contrasto della corruzione, sottoscritta a Strasburgo il 27 gennaio 1999 (e ratificata con l. 28 settembre 2012, n. 110), nonché dalla Convenzione delle Nazioni Unite contro la corruzione (UNCAC), adottata dall’Assemblea </w:t>
      </w:r>
      <w:r w:rsidR="007F3AED" w:rsidRPr="00925180">
        <w:rPr>
          <w:rFonts w:ascii="Garamond" w:hAnsi="Garamond"/>
          <w:sz w:val="24"/>
          <w:szCs w:val="24"/>
        </w:rPr>
        <w:t>generale dell’ONU il 31 ottobre 2003 e ratificata con l. 3 agosto 2009, n. 116.</w:t>
      </w:r>
    </w:p>
    <w:p w14:paraId="4297381A" w14:textId="77777777" w:rsidR="003144B7" w:rsidRPr="00925180" w:rsidRDefault="005D7E41" w:rsidP="00801584">
      <w:pPr>
        <w:jc w:val="both"/>
        <w:rPr>
          <w:rFonts w:ascii="Garamond" w:hAnsi="Garamond"/>
          <w:sz w:val="24"/>
          <w:szCs w:val="24"/>
        </w:rPr>
      </w:pPr>
      <w:r w:rsidRPr="00925180">
        <w:rPr>
          <w:rFonts w:ascii="Garamond" w:hAnsi="Garamond"/>
          <w:sz w:val="24"/>
          <w:szCs w:val="24"/>
        </w:rPr>
        <w:t>Concretamente</w:t>
      </w:r>
      <w:r w:rsidR="007F3AED" w:rsidRPr="00925180">
        <w:rPr>
          <w:rFonts w:ascii="Garamond" w:hAnsi="Garamond"/>
          <w:sz w:val="24"/>
          <w:szCs w:val="24"/>
        </w:rPr>
        <w:t xml:space="preserve"> la creazione dell’Anac è avvenuta in due passaggi. </w:t>
      </w:r>
    </w:p>
    <w:p w14:paraId="3E501F14" w14:textId="77777777" w:rsidR="005D7E41" w:rsidRPr="00925180" w:rsidRDefault="007F3AED" w:rsidP="00801584">
      <w:pPr>
        <w:jc w:val="both"/>
        <w:rPr>
          <w:rFonts w:ascii="Garamond" w:hAnsi="Garamond"/>
          <w:sz w:val="24"/>
          <w:szCs w:val="24"/>
        </w:rPr>
      </w:pPr>
      <w:r w:rsidRPr="00925180">
        <w:rPr>
          <w:rFonts w:ascii="Garamond" w:hAnsi="Garamond"/>
          <w:sz w:val="24"/>
          <w:szCs w:val="24"/>
        </w:rPr>
        <w:t xml:space="preserve">Dapprima vi è stata la </w:t>
      </w:r>
      <w:r w:rsidRPr="00925180">
        <w:rPr>
          <w:rFonts w:ascii="Garamond" w:hAnsi="Garamond"/>
          <w:b/>
          <w:sz w:val="24"/>
          <w:szCs w:val="24"/>
        </w:rPr>
        <w:t>trasformazione della Civit in Anac</w:t>
      </w:r>
      <w:r w:rsidRPr="00925180">
        <w:rPr>
          <w:rFonts w:ascii="Garamond" w:hAnsi="Garamond"/>
          <w:sz w:val="24"/>
          <w:szCs w:val="24"/>
        </w:rPr>
        <w:t>, con l’entrat</w:t>
      </w:r>
      <w:r w:rsidR="003144B7" w:rsidRPr="00925180">
        <w:rPr>
          <w:rFonts w:ascii="Garamond" w:hAnsi="Garamond"/>
          <w:sz w:val="24"/>
          <w:szCs w:val="24"/>
        </w:rPr>
        <w:t>a in vigore della legge 30 ottobre 2013, n. 125</w:t>
      </w:r>
      <w:r w:rsidRPr="00925180">
        <w:rPr>
          <w:rFonts w:ascii="Garamond" w:hAnsi="Garamond"/>
          <w:sz w:val="24"/>
          <w:szCs w:val="24"/>
        </w:rPr>
        <w:t>, di conversione del </w:t>
      </w:r>
      <w:hyperlink r:id="rId12" w:history="1">
        <w:r w:rsidRPr="00925180">
          <w:rPr>
            <w:rStyle w:val="Collegamentoipertestuale"/>
            <w:rFonts w:ascii="Garamond" w:hAnsi="Garamond"/>
            <w:color w:val="auto"/>
            <w:sz w:val="24"/>
            <w:szCs w:val="24"/>
            <w:u w:val="none"/>
          </w:rPr>
          <w:t>decreto legge del 31 agosto 2013, n. 101</w:t>
        </w:r>
      </w:hyperlink>
      <w:r w:rsidRPr="00925180">
        <w:rPr>
          <w:rFonts w:ascii="Garamond" w:hAnsi="Garamond"/>
          <w:sz w:val="24"/>
          <w:szCs w:val="24"/>
        </w:rPr>
        <w:t xml:space="preserve">; successivamente, con la l. </w:t>
      </w:r>
      <w:r w:rsidR="003144B7" w:rsidRPr="00925180">
        <w:rPr>
          <w:rFonts w:ascii="Garamond" w:hAnsi="Garamond"/>
          <w:sz w:val="24"/>
          <w:szCs w:val="24"/>
        </w:rPr>
        <w:t xml:space="preserve">11 agosto 2014, </w:t>
      </w:r>
      <w:r w:rsidRPr="00925180">
        <w:rPr>
          <w:rFonts w:ascii="Garamond" w:hAnsi="Garamond"/>
          <w:sz w:val="24"/>
          <w:szCs w:val="24"/>
        </w:rPr>
        <w:t>n. 114</w:t>
      </w:r>
      <w:r w:rsidR="003144B7" w:rsidRPr="00925180">
        <w:rPr>
          <w:rFonts w:ascii="Garamond" w:hAnsi="Garamond"/>
          <w:sz w:val="24"/>
          <w:szCs w:val="24"/>
        </w:rPr>
        <w:t xml:space="preserve"> </w:t>
      </w:r>
      <w:r w:rsidRPr="00925180">
        <w:rPr>
          <w:rFonts w:ascii="Garamond" w:hAnsi="Garamond"/>
          <w:sz w:val="24"/>
          <w:szCs w:val="24"/>
        </w:rPr>
        <w:t>di conversione del</w:t>
      </w:r>
      <w:r w:rsidR="005D7E41" w:rsidRPr="00925180">
        <w:rPr>
          <w:rFonts w:ascii="Garamond" w:hAnsi="Garamond"/>
          <w:sz w:val="24"/>
          <w:szCs w:val="24"/>
        </w:rPr>
        <w:t xml:space="preserve"> </w:t>
      </w:r>
      <w:r w:rsidR="005D7E41" w:rsidRPr="00925180">
        <w:rPr>
          <w:rFonts w:ascii="Garamond" w:hAnsi="Garamond"/>
          <w:b/>
          <w:sz w:val="24"/>
          <w:szCs w:val="24"/>
        </w:rPr>
        <w:t>d.l.  24 giugno 2014, n.90</w:t>
      </w:r>
      <w:r w:rsidR="005D7E41" w:rsidRPr="00925180">
        <w:rPr>
          <w:rFonts w:ascii="Garamond" w:hAnsi="Garamond"/>
          <w:sz w:val="24"/>
          <w:szCs w:val="24"/>
        </w:rPr>
        <w:t xml:space="preserve">, </w:t>
      </w:r>
      <w:r w:rsidR="003144B7" w:rsidRPr="00925180">
        <w:rPr>
          <w:rFonts w:ascii="Garamond" w:hAnsi="Garamond"/>
          <w:b/>
          <w:bCs/>
          <w:sz w:val="24"/>
          <w:szCs w:val="24"/>
        </w:rPr>
        <w:t>il trasferimento all’Anac di tutti i compiti e le funzioni dell’</w:t>
      </w:r>
      <w:r w:rsidR="003144B7" w:rsidRPr="00925180">
        <w:rPr>
          <w:rFonts w:ascii="Garamond" w:hAnsi="Garamond"/>
          <w:b/>
          <w:sz w:val="24"/>
          <w:szCs w:val="24"/>
        </w:rPr>
        <w:t>AVCP</w:t>
      </w:r>
      <w:r w:rsidR="003144B7" w:rsidRPr="00925180">
        <w:rPr>
          <w:rFonts w:ascii="Garamond" w:hAnsi="Garamond"/>
          <w:sz w:val="24"/>
          <w:szCs w:val="24"/>
        </w:rPr>
        <w:t>, con contestuale estinzione di quest’ultima.</w:t>
      </w:r>
    </w:p>
    <w:p w14:paraId="7CF9BED1" w14:textId="4F309490" w:rsidR="00E56073" w:rsidRPr="00925180" w:rsidRDefault="00427343" w:rsidP="00801584">
      <w:pPr>
        <w:jc w:val="both"/>
        <w:rPr>
          <w:rFonts w:ascii="Garamond" w:hAnsi="Garamond"/>
          <w:sz w:val="24"/>
          <w:szCs w:val="24"/>
        </w:rPr>
      </w:pPr>
      <w:r w:rsidRPr="00925180">
        <w:rPr>
          <w:rFonts w:ascii="Garamond" w:hAnsi="Garamond"/>
          <w:sz w:val="24"/>
          <w:szCs w:val="24"/>
        </w:rPr>
        <w:t>Ci si potrebbe chiedere, a questo punto, ch</w:t>
      </w:r>
      <w:r w:rsidR="00196E49" w:rsidRPr="00925180">
        <w:rPr>
          <w:rFonts w:ascii="Garamond" w:hAnsi="Garamond"/>
          <w:sz w:val="24"/>
          <w:szCs w:val="24"/>
        </w:rPr>
        <w:t>e bisogno c’era di far nascere un nuovo sogg</w:t>
      </w:r>
      <w:r w:rsidRPr="00925180">
        <w:rPr>
          <w:rFonts w:ascii="Garamond" w:hAnsi="Garamond"/>
          <w:sz w:val="24"/>
          <w:szCs w:val="24"/>
        </w:rPr>
        <w:t>etto se ve ne erano già due.</w:t>
      </w:r>
      <w:r w:rsidR="00565E0A" w:rsidRPr="00925180">
        <w:rPr>
          <w:rFonts w:ascii="Garamond" w:hAnsi="Garamond"/>
          <w:sz w:val="24"/>
          <w:szCs w:val="24"/>
        </w:rPr>
        <w:t xml:space="preserve"> </w:t>
      </w:r>
      <w:r w:rsidRPr="00925180">
        <w:rPr>
          <w:rFonts w:ascii="Garamond" w:hAnsi="Garamond"/>
          <w:sz w:val="24"/>
          <w:szCs w:val="24"/>
        </w:rPr>
        <w:t>Come ricostruito nel Piano di riordino Anac, il d.l. n. 90/2014 si ricollega</w:t>
      </w:r>
      <w:r w:rsidR="00565E0A" w:rsidRPr="00925180">
        <w:rPr>
          <w:rFonts w:ascii="Garamond" w:hAnsi="Garamond"/>
          <w:sz w:val="24"/>
          <w:szCs w:val="24"/>
        </w:rPr>
        <w:t xml:space="preserve"> </w:t>
      </w:r>
      <w:r w:rsidRPr="00925180">
        <w:rPr>
          <w:rFonts w:ascii="Garamond" w:hAnsi="Garamond"/>
          <w:sz w:val="24"/>
          <w:szCs w:val="24"/>
        </w:rPr>
        <w:t xml:space="preserve">ad alcune indagini per fatti corruttivi, particolarmente amplificate anche dai media internazionali, e riferite ad alcune opere pubbliche di valore strategico, quale in particolare Expo 2015 e il MOSE di Venezia. Il legislatore, a fronte di tali episodi di </w:t>
      </w:r>
      <w:r w:rsidRPr="00925180">
        <w:rPr>
          <w:rFonts w:ascii="Garamond" w:hAnsi="Garamond"/>
          <w:i/>
          <w:sz w:val="24"/>
          <w:szCs w:val="24"/>
        </w:rPr>
        <w:t>mala administration</w:t>
      </w:r>
      <w:r w:rsidRPr="00925180">
        <w:rPr>
          <w:rFonts w:ascii="Garamond" w:hAnsi="Garamond"/>
          <w:sz w:val="24"/>
          <w:szCs w:val="24"/>
        </w:rPr>
        <w:t>, ha scelto di non puntare, come tante volte era avvenuto in passato sull’onda di fatti emergenziali, sul potenziamento dell’impianto repressivo penale ma di provare ad innestare, nel complessivo sistema istituzionale, una novità capace di incidere sul più lungo periodo, attraverso il rafforzamento dell’impianto preventivo anticorruzione</w:t>
      </w:r>
      <w:r w:rsidRPr="00925180">
        <w:rPr>
          <w:rStyle w:val="Rimandonotaapidipagina"/>
          <w:rFonts w:ascii="Garamond" w:hAnsi="Garamond"/>
          <w:sz w:val="24"/>
          <w:szCs w:val="24"/>
        </w:rPr>
        <w:t xml:space="preserve"> </w:t>
      </w:r>
      <w:r w:rsidRPr="00925180">
        <w:rPr>
          <w:rStyle w:val="Rimandonotaapidipagina"/>
          <w:rFonts w:ascii="Garamond" w:hAnsi="Garamond"/>
          <w:sz w:val="24"/>
          <w:szCs w:val="24"/>
        </w:rPr>
        <w:footnoteReference w:id="4"/>
      </w:r>
      <w:r w:rsidRPr="00925180">
        <w:rPr>
          <w:rFonts w:ascii="Garamond" w:hAnsi="Garamond"/>
          <w:sz w:val="24"/>
          <w:szCs w:val="24"/>
        </w:rPr>
        <w:t xml:space="preserve">. </w:t>
      </w:r>
    </w:p>
    <w:p w14:paraId="141A4D1E" w14:textId="6ACB9343" w:rsidR="00E56073" w:rsidRPr="00925180" w:rsidRDefault="00427343" w:rsidP="00801584">
      <w:pPr>
        <w:jc w:val="both"/>
        <w:rPr>
          <w:rFonts w:ascii="Garamond" w:hAnsi="Garamond"/>
          <w:sz w:val="24"/>
          <w:szCs w:val="24"/>
        </w:rPr>
      </w:pPr>
      <w:r w:rsidRPr="00925180">
        <w:rPr>
          <w:rFonts w:ascii="Garamond" w:hAnsi="Garamond"/>
          <w:sz w:val="24"/>
          <w:szCs w:val="24"/>
        </w:rPr>
        <w:t xml:space="preserve">A tale esigenza </w:t>
      </w:r>
      <w:r w:rsidR="00932C67" w:rsidRPr="00925180">
        <w:rPr>
          <w:rFonts w:ascii="Garamond" w:hAnsi="Garamond"/>
          <w:sz w:val="24"/>
          <w:szCs w:val="24"/>
        </w:rPr>
        <w:t xml:space="preserve">si riteneva che </w:t>
      </w:r>
      <w:r w:rsidRPr="00925180">
        <w:rPr>
          <w:rFonts w:ascii="Garamond" w:hAnsi="Garamond"/>
          <w:sz w:val="24"/>
          <w:szCs w:val="24"/>
        </w:rPr>
        <w:t xml:space="preserve">non </w:t>
      </w:r>
      <w:r w:rsidR="00932C67" w:rsidRPr="00925180">
        <w:rPr>
          <w:rFonts w:ascii="Garamond" w:hAnsi="Garamond"/>
          <w:sz w:val="24"/>
          <w:szCs w:val="24"/>
        </w:rPr>
        <w:t xml:space="preserve">potessero </w:t>
      </w:r>
      <w:r w:rsidRPr="00925180">
        <w:rPr>
          <w:rFonts w:ascii="Garamond" w:hAnsi="Garamond"/>
          <w:sz w:val="24"/>
          <w:szCs w:val="24"/>
        </w:rPr>
        <w:t xml:space="preserve">porre utilmente </w:t>
      </w:r>
      <w:r w:rsidR="00E56073" w:rsidRPr="00925180">
        <w:rPr>
          <w:rFonts w:ascii="Garamond" w:hAnsi="Garamond"/>
          <w:sz w:val="24"/>
          <w:szCs w:val="24"/>
        </w:rPr>
        <w:t xml:space="preserve">rimedio </w:t>
      </w:r>
      <w:r w:rsidRPr="00925180">
        <w:rPr>
          <w:rFonts w:ascii="Garamond" w:hAnsi="Garamond"/>
          <w:sz w:val="24"/>
          <w:szCs w:val="24"/>
        </w:rPr>
        <w:t xml:space="preserve">le Autorità già esistenti: la Civit, per inadeguatezza </w:t>
      </w:r>
      <w:r w:rsidR="0081111C" w:rsidRPr="00925180">
        <w:rPr>
          <w:rFonts w:ascii="Garamond" w:hAnsi="Garamond"/>
          <w:sz w:val="24"/>
          <w:szCs w:val="24"/>
        </w:rPr>
        <w:t>di unità di personale a disposizione</w:t>
      </w:r>
      <w:r w:rsidRPr="00925180">
        <w:rPr>
          <w:rFonts w:ascii="Garamond" w:hAnsi="Garamond"/>
          <w:sz w:val="24"/>
          <w:szCs w:val="24"/>
        </w:rPr>
        <w:t>; l’Avcp per il cara</w:t>
      </w:r>
      <w:r w:rsidR="00E56073" w:rsidRPr="00925180">
        <w:rPr>
          <w:rFonts w:ascii="Garamond" w:hAnsi="Garamond"/>
          <w:sz w:val="24"/>
          <w:szCs w:val="24"/>
        </w:rPr>
        <w:t xml:space="preserve">ttere </w:t>
      </w:r>
      <w:r w:rsidR="00932C67" w:rsidRPr="00925180">
        <w:rPr>
          <w:rFonts w:ascii="Garamond" w:hAnsi="Garamond"/>
          <w:sz w:val="24"/>
          <w:szCs w:val="24"/>
        </w:rPr>
        <w:t xml:space="preserve">ritenuto </w:t>
      </w:r>
      <w:r w:rsidR="00E56073" w:rsidRPr="00925180">
        <w:rPr>
          <w:rFonts w:ascii="Garamond" w:hAnsi="Garamond"/>
          <w:sz w:val="24"/>
          <w:szCs w:val="24"/>
        </w:rPr>
        <w:t>poco incisivo dell’attività</w:t>
      </w:r>
      <w:r w:rsidR="0081111C" w:rsidRPr="00925180">
        <w:rPr>
          <w:rFonts w:ascii="Garamond" w:hAnsi="Garamond"/>
          <w:sz w:val="24"/>
          <w:szCs w:val="24"/>
        </w:rPr>
        <w:t xml:space="preserve"> di vigilanza</w:t>
      </w:r>
      <w:r w:rsidR="00E56073" w:rsidRPr="00925180">
        <w:rPr>
          <w:rFonts w:ascii="Garamond" w:hAnsi="Garamond"/>
          <w:sz w:val="24"/>
          <w:szCs w:val="24"/>
        </w:rPr>
        <w:t>, probabilmente perché imbrigliata in un eccesso di formalismi e burocratizzazione. Per queste ragioni, con provvedimento di urgenza, il legislatore ha scelto di sopprimere l’Avcp potenzi</w:t>
      </w:r>
      <w:r w:rsidR="00F03CB2" w:rsidRPr="00925180">
        <w:rPr>
          <w:rFonts w:ascii="Garamond" w:hAnsi="Garamond"/>
          <w:sz w:val="24"/>
          <w:szCs w:val="24"/>
        </w:rPr>
        <w:t>ando la (</w:t>
      </w:r>
      <w:r w:rsidR="00E56073" w:rsidRPr="00925180">
        <w:rPr>
          <w:rFonts w:ascii="Garamond" w:hAnsi="Garamond"/>
          <w:sz w:val="24"/>
          <w:szCs w:val="24"/>
        </w:rPr>
        <w:t>ex</w:t>
      </w:r>
      <w:r w:rsidR="00F03CB2" w:rsidRPr="00925180">
        <w:rPr>
          <w:rFonts w:ascii="Garamond" w:hAnsi="Garamond"/>
          <w:sz w:val="24"/>
          <w:szCs w:val="24"/>
        </w:rPr>
        <w:t>)</w:t>
      </w:r>
      <w:r w:rsidR="00E56073" w:rsidRPr="00925180">
        <w:rPr>
          <w:rFonts w:ascii="Garamond" w:hAnsi="Garamond"/>
          <w:sz w:val="24"/>
          <w:szCs w:val="24"/>
        </w:rPr>
        <w:t xml:space="preserve"> Civit</w:t>
      </w:r>
      <w:r w:rsidR="0081111C" w:rsidRPr="00925180">
        <w:rPr>
          <w:rFonts w:ascii="Garamond" w:hAnsi="Garamond"/>
          <w:sz w:val="24"/>
          <w:szCs w:val="24"/>
        </w:rPr>
        <w:t xml:space="preserve"> con l’attribuzione di nuove potestà, di una dotazione organica più inquadrata e, soprattutto, di una fisionomia che anche nella sostanza potesse ricondur</w:t>
      </w:r>
      <w:r w:rsidR="00F03CB2" w:rsidRPr="00925180">
        <w:rPr>
          <w:rFonts w:ascii="Garamond" w:hAnsi="Garamond"/>
          <w:sz w:val="24"/>
          <w:szCs w:val="24"/>
        </w:rPr>
        <w:t>la</w:t>
      </w:r>
      <w:r w:rsidR="0081111C" w:rsidRPr="00925180">
        <w:rPr>
          <w:rFonts w:ascii="Garamond" w:hAnsi="Garamond"/>
          <w:sz w:val="24"/>
          <w:szCs w:val="24"/>
        </w:rPr>
        <w:t xml:space="preserve"> alle Autorità indipendenti</w:t>
      </w:r>
      <w:r w:rsidR="00E56073" w:rsidRPr="00925180">
        <w:rPr>
          <w:rFonts w:ascii="Garamond" w:hAnsi="Garamond"/>
          <w:sz w:val="24"/>
          <w:szCs w:val="24"/>
        </w:rPr>
        <w:t xml:space="preserve">. </w:t>
      </w:r>
    </w:p>
    <w:p w14:paraId="500D2EAC" w14:textId="77777777" w:rsidR="009433FC" w:rsidRPr="00925180" w:rsidRDefault="00E56073" w:rsidP="00801584">
      <w:pPr>
        <w:jc w:val="both"/>
        <w:rPr>
          <w:rFonts w:ascii="Garamond" w:hAnsi="Garamond"/>
          <w:sz w:val="24"/>
          <w:szCs w:val="24"/>
        </w:rPr>
      </w:pPr>
      <w:r w:rsidRPr="00925180">
        <w:rPr>
          <w:rFonts w:ascii="Garamond" w:hAnsi="Garamond"/>
          <w:sz w:val="24"/>
          <w:szCs w:val="24"/>
        </w:rPr>
        <w:t>Nel</w:t>
      </w:r>
      <w:r w:rsidR="00427343" w:rsidRPr="00925180">
        <w:rPr>
          <w:rFonts w:ascii="Garamond" w:hAnsi="Garamond"/>
          <w:sz w:val="24"/>
          <w:szCs w:val="24"/>
        </w:rPr>
        <w:t xml:space="preserve"> </w:t>
      </w:r>
      <w:r w:rsidR="00F03CB2" w:rsidRPr="00925180">
        <w:rPr>
          <w:rFonts w:ascii="Garamond" w:hAnsi="Garamond"/>
          <w:sz w:val="24"/>
          <w:szCs w:val="24"/>
        </w:rPr>
        <w:t xml:space="preserve">d.l. n. 90/2014 </w:t>
      </w:r>
      <w:r w:rsidR="00427343" w:rsidRPr="00925180">
        <w:rPr>
          <w:rFonts w:ascii="Garamond" w:hAnsi="Garamond"/>
          <w:sz w:val="24"/>
          <w:szCs w:val="24"/>
        </w:rPr>
        <w:t>vi sono quattro disposizioni (</w:t>
      </w:r>
      <w:r w:rsidR="00F03CB2" w:rsidRPr="00925180">
        <w:rPr>
          <w:rFonts w:ascii="Garamond" w:hAnsi="Garamond"/>
          <w:sz w:val="24"/>
          <w:szCs w:val="24"/>
        </w:rPr>
        <w:t xml:space="preserve">artt. </w:t>
      </w:r>
      <w:r w:rsidR="00427343" w:rsidRPr="00925180">
        <w:rPr>
          <w:rFonts w:ascii="Garamond" w:hAnsi="Garamond"/>
          <w:sz w:val="24"/>
          <w:szCs w:val="24"/>
        </w:rPr>
        <w:t>19, 30, 32 e 37) che si riferiscono specificamente all’A</w:t>
      </w:r>
      <w:r w:rsidR="002E27F9" w:rsidRPr="00925180">
        <w:rPr>
          <w:rFonts w:ascii="Garamond" w:hAnsi="Garamond"/>
          <w:sz w:val="24"/>
          <w:szCs w:val="24"/>
        </w:rPr>
        <w:t>nac</w:t>
      </w:r>
      <w:r w:rsidR="00427343" w:rsidRPr="00925180">
        <w:rPr>
          <w:rFonts w:ascii="Garamond" w:hAnsi="Garamond"/>
          <w:sz w:val="24"/>
          <w:szCs w:val="24"/>
        </w:rPr>
        <w:t>.</w:t>
      </w:r>
      <w:r w:rsidR="0050337E" w:rsidRPr="00925180">
        <w:rPr>
          <w:rFonts w:ascii="Garamond" w:hAnsi="Garamond"/>
          <w:sz w:val="24"/>
          <w:szCs w:val="24"/>
        </w:rPr>
        <w:t xml:space="preserve"> </w:t>
      </w:r>
      <w:r w:rsidR="002E27F9" w:rsidRPr="00925180">
        <w:rPr>
          <w:rFonts w:ascii="Garamond" w:hAnsi="Garamond"/>
          <w:sz w:val="24"/>
          <w:szCs w:val="24"/>
        </w:rPr>
        <w:t xml:space="preserve">Tale complesso normativo ha prodotto l’effetto non solo di disporre la soppressione dell’Avcp e l’attribuzione dei suoi poteri all’Anac (art. 19, commi 2-3), ma soprattutto </w:t>
      </w:r>
      <w:r w:rsidR="009433FC" w:rsidRPr="00925180">
        <w:rPr>
          <w:rFonts w:ascii="Garamond" w:hAnsi="Garamond"/>
          <w:sz w:val="24"/>
          <w:szCs w:val="24"/>
        </w:rPr>
        <w:t xml:space="preserve">di </w:t>
      </w:r>
      <w:r w:rsidR="002E27F9" w:rsidRPr="00925180">
        <w:rPr>
          <w:rFonts w:ascii="Garamond" w:hAnsi="Garamond"/>
          <w:sz w:val="24"/>
          <w:szCs w:val="24"/>
        </w:rPr>
        <w:t>implementa</w:t>
      </w:r>
      <w:r w:rsidR="009433FC" w:rsidRPr="00925180">
        <w:rPr>
          <w:rFonts w:ascii="Garamond" w:hAnsi="Garamond"/>
          <w:sz w:val="24"/>
          <w:szCs w:val="24"/>
        </w:rPr>
        <w:t>re</w:t>
      </w:r>
      <w:r w:rsidR="002E27F9" w:rsidRPr="00925180">
        <w:rPr>
          <w:rFonts w:ascii="Garamond" w:hAnsi="Garamond"/>
          <w:sz w:val="24"/>
          <w:szCs w:val="24"/>
        </w:rPr>
        <w:t xml:space="preserve"> i poteri di quest’ultima eliminando alcune ambiguità che avevano reso molto meno incisiva la precedente normativa. Si pensi al piano di riordino sul personale (commi 3-4)</w:t>
      </w:r>
      <w:r w:rsidR="009433FC" w:rsidRPr="00925180">
        <w:rPr>
          <w:rFonts w:ascii="Garamond" w:hAnsi="Garamond"/>
          <w:sz w:val="24"/>
          <w:szCs w:val="24"/>
        </w:rPr>
        <w:t xml:space="preserve"> per rimediare all’inadeguatezza del numero di </w:t>
      </w:r>
      <w:r w:rsidR="009433FC" w:rsidRPr="00925180">
        <w:rPr>
          <w:rFonts w:ascii="Garamond" w:hAnsi="Garamond"/>
          <w:sz w:val="24"/>
          <w:szCs w:val="24"/>
        </w:rPr>
        <w:lastRenderedPageBreak/>
        <w:t>risorse umane</w:t>
      </w:r>
      <w:r w:rsidR="002E27F9" w:rsidRPr="00925180">
        <w:rPr>
          <w:rFonts w:ascii="Garamond" w:hAnsi="Garamond"/>
          <w:sz w:val="24"/>
          <w:szCs w:val="24"/>
        </w:rPr>
        <w:t>; ai nuovi poteri, anche sanzionatori (commi 5-7)</w:t>
      </w:r>
      <w:r w:rsidR="009433FC" w:rsidRPr="00925180">
        <w:rPr>
          <w:rFonts w:ascii="Garamond" w:hAnsi="Garamond"/>
          <w:sz w:val="24"/>
          <w:szCs w:val="24"/>
        </w:rPr>
        <w:t>, rimessi all’Anac, ivi inclusi collegati a specifici eventi (si v. art. 30 sull’Expo 2015) o a specifiche figure (si v. art. 32 sui poteri del Presidente in materia di gestione, sostegno e monitoraggio di imprese nell'ambito della prevenzione della corruzione).</w:t>
      </w:r>
    </w:p>
    <w:p w14:paraId="24C44DDC" w14:textId="77777777" w:rsidR="00245C25" w:rsidRPr="00925180" w:rsidRDefault="009433FC" w:rsidP="00801584">
      <w:pPr>
        <w:jc w:val="both"/>
        <w:rPr>
          <w:rFonts w:ascii="Garamond" w:hAnsi="Garamond"/>
          <w:sz w:val="24"/>
          <w:szCs w:val="24"/>
        </w:rPr>
      </w:pPr>
      <w:r w:rsidRPr="00925180">
        <w:rPr>
          <w:rFonts w:ascii="Garamond" w:hAnsi="Garamond"/>
          <w:sz w:val="24"/>
          <w:szCs w:val="24"/>
        </w:rPr>
        <w:t xml:space="preserve">Gli organi di </w:t>
      </w:r>
      <w:r w:rsidR="0079078B" w:rsidRPr="00925180">
        <w:rPr>
          <w:rFonts w:ascii="Garamond" w:hAnsi="Garamond"/>
          <w:sz w:val="24"/>
          <w:szCs w:val="24"/>
        </w:rPr>
        <w:t xml:space="preserve">indirizzo politico – amministrativo, posti al vertice della struttura, </w:t>
      </w:r>
      <w:r w:rsidRPr="00925180">
        <w:rPr>
          <w:rFonts w:ascii="Garamond" w:hAnsi="Garamond"/>
          <w:sz w:val="24"/>
          <w:szCs w:val="24"/>
        </w:rPr>
        <w:t>sono nominati seguendo la procedura prevista dall’art. 13 del d.lgs. n. 150/2009</w:t>
      </w:r>
      <w:r w:rsidR="0079078B" w:rsidRPr="00925180">
        <w:rPr>
          <w:rFonts w:ascii="Garamond" w:hAnsi="Garamond"/>
          <w:sz w:val="24"/>
          <w:szCs w:val="24"/>
        </w:rPr>
        <w:t>, così come modificato</w:t>
      </w:r>
      <w:r w:rsidRPr="00925180">
        <w:rPr>
          <w:rFonts w:ascii="Garamond" w:hAnsi="Garamond"/>
          <w:sz w:val="24"/>
          <w:szCs w:val="24"/>
        </w:rPr>
        <w:t xml:space="preserve"> </w:t>
      </w:r>
      <w:r w:rsidR="0079078B" w:rsidRPr="00925180">
        <w:rPr>
          <w:rFonts w:ascii="Garamond" w:hAnsi="Garamond"/>
          <w:sz w:val="24"/>
          <w:szCs w:val="24"/>
        </w:rPr>
        <w:t xml:space="preserve">dal d.l. n. 90/2014. L’Autorità è organo collegiale composto dal presidente e da quattro componenti il Consiglio scelti tra esperti di elevata professionalità, anche estranei all'amministrazione, con comprovate competenze in Italia e all'estero, sia nel settore pubblico che in quello privato, di notoria indipendenza e comprovata esperienza in materia di contrasto alla corruzione. </w:t>
      </w:r>
    </w:p>
    <w:p w14:paraId="19EBAE71" w14:textId="77777777" w:rsidR="00245C25" w:rsidRPr="00925180" w:rsidRDefault="0079078B" w:rsidP="00801584">
      <w:pPr>
        <w:jc w:val="both"/>
        <w:rPr>
          <w:rFonts w:ascii="Garamond" w:hAnsi="Garamond"/>
          <w:sz w:val="24"/>
          <w:szCs w:val="24"/>
        </w:rPr>
      </w:pPr>
      <w:r w:rsidRPr="00925180">
        <w:rPr>
          <w:rFonts w:ascii="Garamond" w:hAnsi="Garamond"/>
          <w:sz w:val="24"/>
          <w:szCs w:val="24"/>
        </w:rPr>
        <w:t xml:space="preserve">Il Presidente e i componenti sono nominati, tenuto conto del principio delle pari opportunità di genere, con decreto del Presidente della Repubblica, previa deliberazione del Consiglio dei ministri, previo parere favorevole delle Commissioni parlamentari competenti espresso a maggioranza dei due terzi dei componenti. Precisamente, il Presidente è nominato su proposta del Ministro per la pubblica amministrazione e la semplificazione, di concerto con il Ministro della giustizia e il Ministro dell'interno; i componenti sono nominati su proposta del Ministro per la pubblica amministrazione e la semplificazione. </w:t>
      </w:r>
    </w:p>
    <w:p w14:paraId="018FDD67" w14:textId="77777777" w:rsidR="0079078B" w:rsidRPr="00925180" w:rsidRDefault="0079078B" w:rsidP="00801584">
      <w:pPr>
        <w:jc w:val="both"/>
        <w:rPr>
          <w:rFonts w:ascii="Garamond" w:hAnsi="Garamond"/>
          <w:sz w:val="24"/>
          <w:szCs w:val="24"/>
        </w:rPr>
      </w:pPr>
      <w:r w:rsidRPr="00925180">
        <w:rPr>
          <w:rFonts w:ascii="Garamond" w:hAnsi="Garamond"/>
          <w:sz w:val="24"/>
          <w:szCs w:val="24"/>
        </w:rPr>
        <w:t>La struttura operativa è diretta da un Segretario generale nominato con deliberazione dell’Autorità medesima tra soggetti aventi specifica professionalità ed esperienza gestionale-organizzativa nel campo del lavoro pubblico.</w:t>
      </w:r>
    </w:p>
    <w:p w14:paraId="072D5C50" w14:textId="1D3A8A72" w:rsidR="009754D4" w:rsidRPr="00925180" w:rsidRDefault="009754D4" w:rsidP="00801584">
      <w:pPr>
        <w:jc w:val="both"/>
        <w:rPr>
          <w:rFonts w:ascii="Garamond" w:hAnsi="Garamond"/>
          <w:sz w:val="24"/>
          <w:szCs w:val="24"/>
        </w:rPr>
      </w:pPr>
      <w:r w:rsidRPr="00925180">
        <w:rPr>
          <w:rFonts w:ascii="Garamond" w:hAnsi="Garamond"/>
          <w:sz w:val="24"/>
          <w:szCs w:val="24"/>
        </w:rPr>
        <w:t xml:space="preserve">Il personale </w:t>
      </w:r>
      <w:r w:rsidR="00B57353" w:rsidRPr="00925180">
        <w:rPr>
          <w:rFonts w:ascii="Garamond" w:hAnsi="Garamond"/>
          <w:sz w:val="24"/>
          <w:szCs w:val="24"/>
        </w:rPr>
        <w:t>su cui ha fatto riferimento, in uno stadio iniziale, è stato quello dell’</w:t>
      </w:r>
      <w:r w:rsidR="00991DC4" w:rsidRPr="00925180">
        <w:rPr>
          <w:rFonts w:ascii="Garamond" w:hAnsi="Garamond"/>
          <w:sz w:val="24"/>
          <w:szCs w:val="24"/>
        </w:rPr>
        <w:t xml:space="preserve">Avcp, il quale ha </w:t>
      </w:r>
      <w:r w:rsidR="00932C67" w:rsidRPr="00925180">
        <w:rPr>
          <w:rFonts w:ascii="Garamond" w:hAnsi="Garamond"/>
          <w:sz w:val="24"/>
          <w:szCs w:val="24"/>
        </w:rPr>
        <w:t xml:space="preserve">integrato quello </w:t>
      </w:r>
      <w:r w:rsidR="00991DC4" w:rsidRPr="00925180">
        <w:rPr>
          <w:rFonts w:ascii="Garamond" w:hAnsi="Garamond"/>
          <w:sz w:val="24"/>
          <w:szCs w:val="24"/>
        </w:rPr>
        <w:t xml:space="preserve">della preesistente Civit, </w:t>
      </w:r>
      <w:r w:rsidR="00B57353" w:rsidRPr="00925180">
        <w:rPr>
          <w:rFonts w:ascii="Garamond" w:hAnsi="Garamond"/>
          <w:sz w:val="24"/>
          <w:szCs w:val="24"/>
        </w:rPr>
        <w:t>come espressamente previsto dal d.l. n. 90/2014 (art. 19, comma 8).</w:t>
      </w:r>
      <w:r w:rsidR="00991DC4" w:rsidRPr="00925180">
        <w:rPr>
          <w:rFonts w:ascii="Garamond" w:hAnsi="Garamond"/>
          <w:sz w:val="24"/>
          <w:szCs w:val="24"/>
        </w:rPr>
        <w:t xml:space="preserve"> Sono seguiti comandi da altre pubbliche amministrazioni, misure di razionalizzazione disposte con il</w:t>
      </w:r>
      <w:r w:rsidR="00F22CE2" w:rsidRPr="00925180">
        <w:rPr>
          <w:rFonts w:ascii="Garamond" w:hAnsi="Garamond"/>
          <w:sz w:val="24"/>
          <w:szCs w:val="24"/>
        </w:rPr>
        <w:t xml:space="preserve"> </w:t>
      </w:r>
      <w:r w:rsidR="00B57353" w:rsidRPr="00925180">
        <w:rPr>
          <w:rFonts w:ascii="Garamond" w:hAnsi="Garamond"/>
          <w:sz w:val="24"/>
          <w:szCs w:val="24"/>
        </w:rPr>
        <w:t>piano di riordino del Presidente Anac</w:t>
      </w:r>
      <w:r w:rsidR="00991DC4" w:rsidRPr="00925180">
        <w:rPr>
          <w:rFonts w:ascii="Garamond" w:hAnsi="Garamond"/>
          <w:sz w:val="24"/>
          <w:szCs w:val="24"/>
        </w:rPr>
        <w:t xml:space="preserve"> e, infine, il concorso</w:t>
      </w:r>
      <w:r w:rsidR="00B57353" w:rsidRPr="00925180">
        <w:rPr>
          <w:rFonts w:ascii="Garamond" w:hAnsi="Garamond"/>
          <w:sz w:val="24"/>
          <w:szCs w:val="24"/>
        </w:rPr>
        <w:t xml:space="preserve"> per n. 35 funzionari tenutosi nel 2018 (con assunzioni a far data dall’aprile 2019)</w:t>
      </w:r>
      <w:r w:rsidR="00C928E3" w:rsidRPr="00925180">
        <w:rPr>
          <w:rFonts w:ascii="Garamond" w:hAnsi="Garamond"/>
          <w:sz w:val="24"/>
          <w:szCs w:val="24"/>
        </w:rPr>
        <w:t>, cui ne ha fatto seguito solo un altro, bandito nel dicembre 2022 e attualmente in corso di svolgimento.</w:t>
      </w:r>
    </w:p>
    <w:p w14:paraId="7051BD90" w14:textId="50E0D3B4" w:rsidR="00801584" w:rsidRPr="00925180" w:rsidRDefault="00801584" w:rsidP="00801584">
      <w:pPr>
        <w:jc w:val="both"/>
        <w:rPr>
          <w:rFonts w:ascii="Garamond" w:hAnsi="Garamond"/>
          <w:b/>
          <w:sz w:val="24"/>
          <w:szCs w:val="24"/>
        </w:rPr>
      </w:pPr>
      <w:r w:rsidRPr="00925180">
        <w:rPr>
          <w:rFonts w:ascii="Garamond" w:hAnsi="Garamond"/>
          <w:b/>
          <w:sz w:val="24"/>
          <w:szCs w:val="24"/>
        </w:rPr>
        <w:t xml:space="preserve">2. Le funzioni dell’Autorità </w:t>
      </w:r>
      <w:r w:rsidR="0098778E" w:rsidRPr="00925180">
        <w:rPr>
          <w:rFonts w:ascii="Garamond" w:hAnsi="Garamond"/>
          <w:b/>
          <w:sz w:val="24"/>
          <w:szCs w:val="24"/>
        </w:rPr>
        <w:t>e il suo inquadramento quale “Autorità indipendente”</w:t>
      </w:r>
    </w:p>
    <w:p w14:paraId="2139E6EA" w14:textId="011D4C75" w:rsidR="00196E49" w:rsidRPr="00925180" w:rsidRDefault="00196E49" w:rsidP="002536B6">
      <w:pPr>
        <w:jc w:val="both"/>
        <w:rPr>
          <w:rFonts w:ascii="Garamond" w:hAnsi="Garamond"/>
          <w:sz w:val="24"/>
          <w:szCs w:val="24"/>
        </w:rPr>
      </w:pPr>
      <w:r w:rsidRPr="00925180">
        <w:rPr>
          <w:rFonts w:ascii="Garamond" w:hAnsi="Garamond"/>
          <w:sz w:val="24"/>
          <w:szCs w:val="24"/>
        </w:rPr>
        <w:t>All’Autorità sono assegnate</w:t>
      </w:r>
      <w:r w:rsidR="00245C25" w:rsidRPr="00925180">
        <w:rPr>
          <w:rFonts w:ascii="Garamond" w:hAnsi="Garamond"/>
          <w:sz w:val="24"/>
          <w:szCs w:val="24"/>
        </w:rPr>
        <w:t xml:space="preserve"> dalla legge le seguenti funzioni</w:t>
      </w:r>
      <w:r w:rsidR="00C72FAD" w:rsidRPr="00925180">
        <w:rPr>
          <w:rFonts w:ascii="Garamond" w:hAnsi="Garamond"/>
          <w:sz w:val="24"/>
          <w:szCs w:val="24"/>
        </w:rPr>
        <w:t xml:space="preserve"> (in ordine sparso)</w:t>
      </w:r>
      <w:r w:rsidRPr="00925180">
        <w:rPr>
          <w:rFonts w:ascii="Garamond" w:hAnsi="Garamond"/>
          <w:sz w:val="24"/>
          <w:szCs w:val="24"/>
        </w:rPr>
        <w:t>:</w:t>
      </w:r>
    </w:p>
    <w:p w14:paraId="455C5C00" w14:textId="098BA341" w:rsidR="00196E49" w:rsidRPr="00925180" w:rsidRDefault="00245C25" w:rsidP="002536B6">
      <w:pPr>
        <w:jc w:val="both"/>
        <w:rPr>
          <w:rFonts w:ascii="Garamond" w:hAnsi="Garamond"/>
          <w:sz w:val="24"/>
          <w:szCs w:val="24"/>
        </w:rPr>
      </w:pPr>
      <w:r w:rsidRPr="00925180">
        <w:rPr>
          <w:rFonts w:ascii="Garamond" w:hAnsi="Garamond"/>
          <w:sz w:val="24"/>
          <w:szCs w:val="24"/>
        </w:rPr>
        <w:t>-</w:t>
      </w:r>
      <w:r w:rsidR="00196E49" w:rsidRPr="00925180">
        <w:rPr>
          <w:rFonts w:ascii="Garamond" w:hAnsi="Garamond"/>
          <w:sz w:val="24"/>
          <w:szCs w:val="24"/>
        </w:rPr>
        <w:t xml:space="preserve"> </w:t>
      </w:r>
      <w:r w:rsidR="00500796" w:rsidRPr="00925180">
        <w:rPr>
          <w:rFonts w:ascii="Garamond" w:hAnsi="Garamond"/>
          <w:sz w:val="24"/>
          <w:szCs w:val="24"/>
        </w:rPr>
        <w:t xml:space="preserve">di </w:t>
      </w:r>
      <w:r w:rsidRPr="00925180">
        <w:rPr>
          <w:rFonts w:ascii="Garamond" w:hAnsi="Garamond"/>
          <w:sz w:val="24"/>
          <w:szCs w:val="24"/>
        </w:rPr>
        <w:t>r</w:t>
      </w:r>
      <w:r w:rsidR="00196E49" w:rsidRPr="00925180">
        <w:rPr>
          <w:rFonts w:ascii="Garamond" w:hAnsi="Garamond"/>
          <w:sz w:val="24"/>
          <w:szCs w:val="24"/>
        </w:rPr>
        <w:t>egolazione</w:t>
      </w:r>
      <w:r w:rsidR="00B93656" w:rsidRPr="00925180">
        <w:rPr>
          <w:rFonts w:ascii="Garamond" w:hAnsi="Garamond"/>
          <w:sz w:val="24"/>
          <w:szCs w:val="24"/>
        </w:rPr>
        <w:t xml:space="preserve"> e di indirizzo</w:t>
      </w:r>
      <w:r w:rsidRPr="00925180">
        <w:rPr>
          <w:rFonts w:ascii="Garamond" w:hAnsi="Garamond"/>
          <w:sz w:val="24"/>
          <w:szCs w:val="24"/>
        </w:rPr>
        <w:t>, da esercitarsi prevalentemente con linee guida</w:t>
      </w:r>
      <w:r w:rsidR="00500796" w:rsidRPr="00925180">
        <w:rPr>
          <w:rFonts w:ascii="Garamond" w:hAnsi="Garamond"/>
          <w:sz w:val="24"/>
          <w:szCs w:val="24"/>
        </w:rPr>
        <w:t xml:space="preserve"> o con strumenti di pianificazione, a partire dal Piano Nazionale anticorruzione</w:t>
      </w:r>
      <w:r w:rsidRPr="00925180">
        <w:rPr>
          <w:rFonts w:ascii="Garamond" w:hAnsi="Garamond"/>
          <w:sz w:val="24"/>
          <w:szCs w:val="24"/>
        </w:rPr>
        <w:t>;</w:t>
      </w:r>
    </w:p>
    <w:p w14:paraId="0342404C" w14:textId="65AC503C" w:rsidR="00196E49" w:rsidRPr="00925180" w:rsidRDefault="00245C25" w:rsidP="002536B6">
      <w:pPr>
        <w:jc w:val="both"/>
        <w:rPr>
          <w:rFonts w:ascii="Garamond" w:hAnsi="Garamond"/>
          <w:sz w:val="24"/>
          <w:szCs w:val="24"/>
        </w:rPr>
      </w:pPr>
      <w:r w:rsidRPr="00925180">
        <w:rPr>
          <w:rFonts w:ascii="Garamond" w:hAnsi="Garamond"/>
          <w:sz w:val="24"/>
          <w:szCs w:val="24"/>
        </w:rPr>
        <w:t xml:space="preserve">- </w:t>
      </w:r>
      <w:r w:rsidR="00500796" w:rsidRPr="00925180">
        <w:rPr>
          <w:rFonts w:ascii="Garamond" w:hAnsi="Garamond"/>
          <w:sz w:val="24"/>
          <w:szCs w:val="24"/>
        </w:rPr>
        <w:t xml:space="preserve">di </w:t>
      </w:r>
      <w:r w:rsidR="00196E49" w:rsidRPr="00925180">
        <w:rPr>
          <w:rFonts w:ascii="Garamond" w:hAnsi="Garamond"/>
          <w:sz w:val="24"/>
          <w:szCs w:val="24"/>
        </w:rPr>
        <w:t>vigilanza</w:t>
      </w:r>
      <w:r w:rsidR="00B93656" w:rsidRPr="00925180">
        <w:rPr>
          <w:rFonts w:ascii="Garamond" w:hAnsi="Garamond"/>
          <w:sz w:val="24"/>
          <w:szCs w:val="24"/>
        </w:rPr>
        <w:t xml:space="preserve"> e controllo</w:t>
      </w:r>
      <w:r w:rsidRPr="00925180">
        <w:rPr>
          <w:rFonts w:ascii="Garamond" w:hAnsi="Garamond"/>
          <w:sz w:val="24"/>
          <w:szCs w:val="24"/>
        </w:rPr>
        <w:t>, che può condurre all’adozione di sanzioni</w:t>
      </w:r>
      <w:r w:rsidR="00500796" w:rsidRPr="00925180">
        <w:rPr>
          <w:rFonts w:ascii="Garamond" w:hAnsi="Garamond"/>
          <w:sz w:val="24"/>
          <w:szCs w:val="24"/>
        </w:rPr>
        <w:t xml:space="preserve"> o provvedimenti di ordine</w:t>
      </w:r>
      <w:r w:rsidRPr="00925180">
        <w:rPr>
          <w:rFonts w:ascii="Garamond" w:hAnsi="Garamond"/>
          <w:sz w:val="24"/>
          <w:szCs w:val="24"/>
        </w:rPr>
        <w:t>;</w:t>
      </w:r>
    </w:p>
    <w:p w14:paraId="1FA9645A" w14:textId="36A12A63" w:rsidR="00196E49" w:rsidRPr="00925180" w:rsidRDefault="00196E49" w:rsidP="002536B6">
      <w:pPr>
        <w:jc w:val="both"/>
        <w:rPr>
          <w:rFonts w:ascii="Garamond" w:hAnsi="Garamond"/>
          <w:sz w:val="24"/>
          <w:szCs w:val="24"/>
        </w:rPr>
      </w:pPr>
      <w:r w:rsidRPr="00925180">
        <w:rPr>
          <w:rFonts w:ascii="Garamond" w:hAnsi="Garamond"/>
          <w:sz w:val="24"/>
          <w:szCs w:val="24"/>
        </w:rPr>
        <w:t xml:space="preserve">- </w:t>
      </w:r>
      <w:r w:rsidR="00245C25" w:rsidRPr="00925180">
        <w:rPr>
          <w:rFonts w:ascii="Garamond" w:hAnsi="Garamond"/>
          <w:sz w:val="24"/>
          <w:szCs w:val="24"/>
        </w:rPr>
        <w:t>d</w:t>
      </w:r>
      <w:r w:rsidRPr="00925180">
        <w:rPr>
          <w:rFonts w:ascii="Garamond" w:hAnsi="Garamond"/>
          <w:sz w:val="24"/>
          <w:szCs w:val="24"/>
        </w:rPr>
        <w:t>i prevenzione</w:t>
      </w:r>
      <w:r w:rsidR="00245C25" w:rsidRPr="00925180">
        <w:rPr>
          <w:rFonts w:ascii="Garamond" w:hAnsi="Garamond"/>
          <w:sz w:val="24"/>
          <w:szCs w:val="24"/>
        </w:rPr>
        <w:t>, nell’ottica di</w:t>
      </w:r>
      <w:r w:rsidR="00500796" w:rsidRPr="00925180">
        <w:rPr>
          <w:rFonts w:ascii="Garamond" w:hAnsi="Garamond"/>
          <w:sz w:val="24"/>
          <w:szCs w:val="24"/>
        </w:rPr>
        <w:t xml:space="preserve"> una promozione dell’anticorruzione, della trasparenza e più </w:t>
      </w:r>
      <w:r w:rsidR="0098778E" w:rsidRPr="00925180">
        <w:rPr>
          <w:rFonts w:ascii="Garamond" w:hAnsi="Garamond"/>
          <w:sz w:val="24"/>
          <w:szCs w:val="24"/>
        </w:rPr>
        <w:t>in generale dell’etica pubblica;</w:t>
      </w:r>
    </w:p>
    <w:p w14:paraId="5FE3F27A" w14:textId="7588F16E" w:rsidR="00B93656" w:rsidRPr="00925180" w:rsidRDefault="00B93656" w:rsidP="002536B6">
      <w:pPr>
        <w:jc w:val="both"/>
        <w:rPr>
          <w:rFonts w:ascii="Garamond" w:hAnsi="Garamond"/>
          <w:sz w:val="24"/>
          <w:szCs w:val="24"/>
        </w:rPr>
      </w:pPr>
      <w:r w:rsidRPr="00925180">
        <w:rPr>
          <w:rFonts w:ascii="Garamond" w:hAnsi="Garamond"/>
          <w:sz w:val="24"/>
          <w:szCs w:val="24"/>
        </w:rPr>
        <w:t xml:space="preserve">- di segnalazione alle autorità di volta in volta competenti (dal Parlamento, alle autorità giudiziarie, ecc..); </w:t>
      </w:r>
    </w:p>
    <w:p w14:paraId="407B81C7" w14:textId="2DAAD052" w:rsidR="00500796" w:rsidRPr="00925180" w:rsidRDefault="00500796" w:rsidP="002536B6">
      <w:pPr>
        <w:jc w:val="both"/>
        <w:rPr>
          <w:rFonts w:ascii="Garamond" w:hAnsi="Garamond"/>
          <w:sz w:val="24"/>
          <w:szCs w:val="24"/>
        </w:rPr>
      </w:pPr>
      <w:r w:rsidRPr="00925180">
        <w:rPr>
          <w:rFonts w:ascii="Garamond" w:hAnsi="Garamond"/>
          <w:sz w:val="24"/>
          <w:szCs w:val="24"/>
        </w:rPr>
        <w:t>- paragiurisdizionali, in materia di precontenzioso ai sensi dell’art.</w:t>
      </w:r>
      <w:r w:rsidR="00295507" w:rsidRPr="00925180">
        <w:rPr>
          <w:rFonts w:ascii="Garamond" w:hAnsi="Garamond"/>
          <w:sz w:val="24"/>
          <w:szCs w:val="24"/>
        </w:rPr>
        <w:t xml:space="preserve"> 220 d.lgs. 31 marzo 2023, n. 36 (ex art.</w:t>
      </w:r>
      <w:r w:rsidRPr="00925180">
        <w:rPr>
          <w:rFonts w:ascii="Garamond" w:hAnsi="Garamond"/>
          <w:sz w:val="24"/>
          <w:szCs w:val="24"/>
        </w:rPr>
        <w:t xml:space="preserve"> 211</w:t>
      </w:r>
      <w:r w:rsidR="00067392" w:rsidRPr="00925180">
        <w:rPr>
          <w:rFonts w:ascii="Garamond" w:hAnsi="Garamond"/>
          <w:sz w:val="24"/>
          <w:szCs w:val="24"/>
        </w:rPr>
        <w:t xml:space="preserve"> del d.lgs. n. 50/2016</w:t>
      </w:r>
      <w:r w:rsidR="00295507" w:rsidRPr="00925180">
        <w:rPr>
          <w:rFonts w:ascii="Garamond" w:hAnsi="Garamond"/>
          <w:sz w:val="24"/>
          <w:szCs w:val="24"/>
        </w:rPr>
        <w:t>)</w:t>
      </w:r>
      <w:r w:rsidRPr="00925180">
        <w:rPr>
          <w:rFonts w:ascii="Garamond" w:hAnsi="Garamond"/>
          <w:sz w:val="24"/>
          <w:szCs w:val="24"/>
        </w:rPr>
        <w:t>.</w:t>
      </w:r>
    </w:p>
    <w:p w14:paraId="5D2E78CC" w14:textId="77777777" w:rsidR="00067392" w:rsidRPr="00925180" w:rsidRDefault="00500796" w:rsidP="002536B6">
      <w:pPr>
        <w:jc w:val="both"/>
        <w:rPr>
          <w:rFonts w:ascii="Garamond" w:hAnsi="Garamond"/>
          <w:sz w:val="24"/>
          <w:szCs w:val="24"/>
        </w:rPr>
      </w:pPr>
      <w:r w:rsidRPr="00925180">
        <w:rPr>
          <w:rFonts w:ascii="Garamond" w:hAnsi="Garamond"/>
          <w:sz w:val="24"/>
          <w:szCs w:val="24"/>
        </w:rPr>
        <w:t xml:space="preserve">Le materie nelle quali opera </w:t>
      </w:r>
      <w:r w:rsidR="00067392" w:rsidRPr="00925180">
        <w:rPr>
          <w:rFonts w:ascii="Garamond" w:hAnsi="Garamond"/>
          <w:sz w:val="24"/>
          <w:szCs w:val="24"/>
        </w:rPr>
        <w:t xml:space="preserve">sono le seguenti: </w:t>
      </w:r>
    </w:p>
    <w:p w14:paraId="5ADD0B37" w14:textId="377BA29C" w:rsidR="00067392" w:rsidRPr="00925180" w:rsidRDefault="00067392" w:rsidP="002536B6">
      <w:pPr>
        <w:jc w:val="both"/>
        <w:rPr>
          <w:rFonts w:ascii="Garamond" w:hAnsi="Garamond"/>
          <w:sz w:val="24"/>
          <w:szCs w:val="24"/>
        </w:rPr>
      </w:pPr>
      <w:r w:rsidRPr="00925180">
        <w:rPr>
          <w:rFonts w:ascii="Garamond" w:hAnsi="Garamond"/>
          <w:sz w:val="24"/>
          <w:szCs w:val="24"/>
        </w:rPr>
        <w:t xml:space="preserve">- anticorruzione, principalmente sotto forma di </w:t>
      </w:r>
      <w:r w:rsidR="00C53763" w:rsidRPr="00925180">
        <w:rPr>
          <w:rFonts w:ascii="Garamond" w:hAnsi="Garamond"/>
          <w:sz w:val="24"/>
          <w:szCs w:val="24"/>
        </w:rPr>
        <w:t xml:space="preserve">regolazione attraverso la redazione </w:t>
      </w:r>
      <w:r w:rsidRPr="00925180">
        <w:rPr>
          <w:rFonts w:ascii="Garamond" w:hAnsi="Garamond"/>
          <w:sz w:val="24"/>
          <w:szCs w:val="24"/>
        </w:rPr>
        <w:t>d</w:t>
      </w:r>
      <w:r w:rsidR="004C7F81" w:rsidRPr="00925180">
        <w:rPr>
          <w:rFonts w:ascii="Garamond" w:hAnsi="Garamond"/>
          <w:sz w:val="24"/>
          <w:szCs w:val="24"/>
        </w:rPr>
        <w:t xml:space="preserve">el </w:t>
      </w:r>
      <w:r w:rsidRPr="00925180">
        <w:rPr>
          <w:rFonts w:ascii="Garamond" w:hAnsi="Garamond"/>
          <w:sz w:val="24"/>
          <w:szCs w:val="24"/>
        </w:rPr>
        <w:t xml:space="preserve">Piano Nazionale Anticorruzione e di vigilanza sui piani </w:t>
      </w:r>
      <w:r w:rsidR="00C53763" w:rsidRPr="00925180">
        <w:rPr>
          <w:rFonts w:ascii="Garamond" w:hAnsi="Garamond"/>
          <w:sz w:val="24"/>
          <w:szCs w:val="24"/>
        </w:rPr>
        <w:t xml:space="preserve">triennali di prevenzione della corruzione e trasparenza (PTPCT) </w:t>
      </w:r>
      <w:r w:rsidRPr="00925180">
        <w:rPr>
          <w:rFonts w:ascii="Garamond" w:hAnsi="Garamond"/>
          <w:sz w:val="24"/>
          <w:szCs w:val="24"/>
        </w:rPr>
        <w:t>delle amministrazioni, acquisiti con una piattaforma telematica</w:t>
      </w:r>
      <w:r w:rsidR="00CE2391" w:rsidRPr="00925180">
        <w:rPr>
          <w:rFonts w:ascii="Garamond" w:hAnsi="Garamond"/>
          <w:sz w:val="24"/>
          <w:szCs w:val="24"/>
        </w:rPr>
        <w:t xml:space="preserve">. La funzione di regolazione spiega oggi i suoi effetti anche rispetto a quella specifica sezione del Piano integrato di attività e organizzazione – PIAO, dedicata a </w:t>
      </w:r>
      <w:r w:rsidR="00CE2391" w:rsidRPr="00925180">
        <w:rPr>
          <w:rFonts w:ascii="Garamond" w:hAnsi="Garamond"/>
          <w:i/>
          <w:iCs/>
          <w:sz w:val="24"/>
          <w:szCs w:val="24"/>
        </w:rPr>
        <w:t>Valore pubblico, performance e anticorruzione</w:t>
      </w:r>
      <w:r w:rsidR="00CE2391" w:rsidRPr="00925180">
        <w:rPr>
          <w:rFonts w:ascii="Garamond" w:hAnsi="Garamond"/>
          <w:sz w:val="24"/>
          <w:szCs w:val="24"/>
        </w:rPr>
        <w:t>, per le amministrazioni che vi sono tenute</w:t>
      </w:r>
      <w:r w:rsidRPr="00925180">
        <w:rPr>
          <w:rFonts w:ascii="Garamond" w:hAnsi="Garamond"/>
          <w:sz w:val="24"/>
          <w:szCs w:val="24"/>
        </w:rPr>
        <w:t xml:space="preserve">; </w:t>
      </w:r>
    </w:p>
    <w:p w14:paraId="6D042667" w14:textId="77777777" w:rsidR="00067392" w:rsidRPr="00925180" w:rsidRDefault="00067392" w:rsidP="002536B6">
      <w:pPr>
        <w:jc w:val="both"/>
        <w:rPr>
          <w:rFonts w:ascii="Garamond" w:hAnsi="Garamond"/>
          <w:sz w:val="24"/>
          <w:szCs w:val="24"/>
        </w:rPr>
      </w:pPr>
      <w:r w:rsidRPr="00925180">
        <w:rPr>
          <w:rFonts w:ascii="Garamond" w:hAnsi="Garamond"/>
          <w:sz w:val="24"/>
          <w:szCs w:val="24"/>
        </w:rPr>
        <w:lastRenderedPageBreak/>
        <w:t xml:space="preserve">- </w:t>
      </w:r>
      <w:r w:rsidR="00160022" w:rsidRPr="00925180">
        <w:rPr>
          <w:rFonts w:ascii="Garamond" w:hAnsi="Garamond"/>
          <w:sz w:val="24"/>
          <w:szCs w:val="24"/>
        </w:rPr>
        <w:t>trasparenza,</w:t>
      </w:r>
      <w:r w:rsidRPr="00925180">
        <w:rPr>
          <w:rFonts w:ascii="Garamond" w:hAnsi="Garamond"/>
          <w:sz w:val="24"/>
          <w:szCs w:val="24"/>
        </w:rPr>
        <w:t xml:space="preserve"> da intendersi anche in chiave</w:t>
      </w:r>
      <w:r w:rsidR="00160022" w:rsidRPr="00925180">
        <w:rPr>
          <w:rFonts w:ascii="Garamond" w:hAnsi="Garamond"/>
          <w:sz w:val="24"/>
          <w:szCs w:val="24"/>
        </w:rPr>
        <w:t xml:space="preserve"> anticorruzione</w:t>
      </w:r>
      <w:r w:rsidRPr="00925180">
        <w:rPr>
          <w:rFonts w:ascii="Garamond" w:hAnsi="Garamond"/>
          <w:sz w:val="24"/>
          <w:szCs w:val="24"/>
        </w:rPr>
        <w:t>, sotto forma di organizzazione dei dati da inserire nella sezione Amministrazione trasparente, nonché di vigilanza sull’adempimento degli obblighi previsti dal d.lgs. 14 marzo 2013, n. 33;</w:t>
      </w:r>
      <w:r w:rsidR="00160022" w:rsidRPr="00925180">
        <w:rPr>
          <w:rFonts w:ascii="Garamond" w:hAnsi="Garamond"/>
          <w:sz w:val="24"/>
          <w:szCs w:val="24"/>
        </w:rPr>
        <w:t xml:space="preserve"> </w:t>
      </w:r>
    </w:p>
    <w:p w14:paraId="53422D0F" w14:textId="1A373916" w:rsidR="00067392" w:rsidRPr="00925180" w:rsidRDefault="00067392" w:rsidP="002536B6">
      <w:pPr>
        <w:jc w:val="both"/>
        <w:rPr>
          <w:rFonts w:ascii="Garamond" w:hAnsi="Garamond"/>
          <w:sz w:val="24"/>
          <w:szCs w:val="24"/>
        </w:rPr>
      </w:pPr>
      <w:r w:rsidRPr="00925180">
        <w:rPr>
          <w:rFonts w:ascii="Garamond" w:hAnsi="Garamond"/>
          <w:sz w:val="24"/>
          <w:szCs w:val="24"/>
        </w:rPr>
        <w:t>-</w:t>
      </w:r>
      <w:r w:rsidR="00160022" w:rsidRPr="00925180">
        <w:rPr>
          <w:rFonts w:ascii="Garamond" w:hAnsi="Garamond"/>
          <w:sz w:val="24"/>
          <w:szCs w:val="24"/>
        </w:rPr>
        <w:t xml:space="preserve"> appalti pubblici</w:t>
      </w:r>
      <w:r w:rsidRPr="00925180">
        <w:rPr>
          <w:rFonts w:ascii="Garamond" w:hAnsi="Garamond"/>
          <w:sz w:val="24"/>
          <w:szCs w:val="24"/>
        </w:rPr>
        <w:t xml:space="preserve"> sotto forma, anche in questo caso, di regolazione della materia</w:t>
      </w:r>
      <w:r w:rsidR="00C53763" w:rsidRPr="00925180">
        <w:rPr>
          <w:rFonts w:ascii="Garamond" w:hAnsi="Garamond"/>
          <w:sz w:val="24"/>
          <w:szCs w:val="24"/>
        </w:rPr>
        <w:t>, fortemente limitata per effetto del</w:t>
      </w:r>
      <w:r w:rsidR="00147959" w:rsidRPr="00925180">
        <w:rPr>
          <w:rFonts w:ascii="Garamond" w:hAnsi="Garamond"/>
          <w:sz w:val="24"/>
          <w:szCs w:val="24"/>
        </w:rPr>
        <w:t xml:space="preserve"> carattere auto-esecutivo</w:t>
      </w:r>
      <w:r w:rsidR="00C53763" w:rsidRPr="00925180">
        <w:rPr>
          <w:rFonts w:ascii="Garamond" w:hAnsi="Garamond"/>
          <w:sz w:val="24"/>
          <w:szCs w:val="24"/>
        </w:rPr>
        <w:t xml:space="preserve"> nuovo </w:t>
      </w:r>
      <w:r w:rsidRPr="00925180">
        <w:rPr>
          <w:rFonts w:ascii="Garamond" w:hAnsi="Garamond"/>
          <w:sz w:val="24"/>
          <w:szCs w:val="24"/>
        </w:rPr>
        <w:t>Codice dei contratti pubblici</w:t>
      </w:r>
      <w:r w:rsidR="00C53763" w:rsidRPr="00925180">
        <w:rPr>
          <w:rFonts w:ascii="Garamond" w:hAnsi="Garamond"/>
          <w:sz w:val="24"/>
          <w:szCs w:val="24"/>
        </w:rPr>
        <w:t xml:space="preserve"> (d.lgs. n. 36/23); di pubblicazione di tutti i dati relativi agli affidamenti nell’ambito della Banca dati nazionale dei contratti pubblici (BDNCP), di gestione del fascicolo virtuale dell’operatore economico</w:t>
      </w:r>
      <w:r w:rsidR="00147959" w:rsidRPr="00925180">
        <w:rPr>
          <w:rFonts w:ascii="Garamond" w:hAnsi="Garamond"/>
          <w:sz w:val="24"/>
          <w:szCs w:val="24"/>
        </w:rPr>
        <w:t xml:space="preserve"> e dell’</w:t>
      </w:r>
      <w:r w:rsidR="00C53763" w:rsidRPr="00925180">
        <w:rPr>
          <w:rFonts w:ascii="Garamond" w:hAnsi="Garamond"/>
          <w:sz w:val="24"/>
          <w:szCs w:val="24"/>
        </w:rPr>
        <w:t>Anagrafe degli operatori economici</w:t>
      </w:r>
      <w:r w:rsidRPr="00925180">
        <w:rPr>
          <w:rFonts w:ascii="Garamond" w:hAnsi="Garamond"/>
          <w:sz w:val="24"/>
          <w:szCs w:val="24"/>
        </w:rPr>
        <w:t xml:space="preserve"> e</w:t>
      </w:r>
      <w:r w:rsidR="004C7F81" w:rsidRPr="00925180">
        <w:rPr>
          <w:rFonts w:ascii="Garamond" w:hAnsi="Garamond"/>
          <w:sz w:val="24"/>
          <w:szCs w:val="24"/>
        </w:rPr>
        <w:t>, al contempo,</w:t>
      </w:r>
      <w:r w:rsidRPr="00925180">
        <w:rPr>
          <w:rFonts w:ascii="Garamond" w:hAnsi="Garamond"/>
          <w:sz w:val="24"/>
          <w:szCs w:val="24"/>
        </w:rPr>
        <w:t xml:space="preserve"> di vigilanza ai sensi dell’art</w:t>
      </w:r>
      <w:r w:rsidR="00147959" w:rsidRPr="00925180">
        <w:rPr>
          <w:rFonts w:ascii="Garamond" w:hAnsi="Garamond"/>
          <w:sz w:val="24"/>
          <w:szCs w:val="24"/>
        </w:rPr>
        <w:t>. 222 del d.lgs. n. 36/2023</w:t>
      </w:r>
      <w:r w:rsidRPr="00925180">
        <w:rPr>
          <w:rFonts w:ascii="Garamond" w:hAnsi="Garamond"/>
          <w:sz w:val="24"/>
          <w:szCs w:val="24"/>
        </w:rPr>
        <w:t>.</w:t>
      </w:r>
    </w:p>
    <w:p w14:paraId="2CC78B2A" w14:textId="77777777" w:rsidR="00160022" w:rsidRPr="00925180" w:rsidRDefault="004C7F81" w:rsidP="002536B6">
      <w:pPr>
        <w:jc w:val="both"/>
        <w:rPr>
          <w:rFonts w:ascii="Garamond" w:hAnsi="Garamond"/>
          <w:sz w:val="24"/>
          <w:szCs w:val="24"/>
        </w:rPr>
      </w:pPr>
      <w:r w:rsidRPr="00925180">
        <w:rPr>
          <w:rFonts w:ascii="Garamond" w:hAnsi="Garamond"/>
          <w:sz w:val="24"/>
          <w:szCs w:val="24"/>
        </w:rPr>
        <w:t>Tali materie così eterogenee</w:t>
      </w:r>
      <w:r w:rsidR="00E158FA" w:rsidRPr="00925180">
        <w:rPr>
          <w:rFonts w:ascii="Garamond" w:hAnsi="Garamond"/>
          <w:sz w:val="24"/>
          <w:szCs w:val="24"/>
        </w:rPr>
        <w:t xml:space="preserve"> </w:t>
      </w:r>
      <w:r w:rsidRPr="00925180">
        <w:rPr>
          <w:rFonts w:ascii="Garamond" w:hAnsi="Garamond"/>
          <w:sz w:val="24"/>
          <w:szCs w:val="24"/>
        </w:rPr>
        <w:t>giustificano l’etichetta assegnata alla stessa di</w:t>
      </w:r>
      <w:r w:rsidR="00E158FA" w:rsidRPr="00925180">
        <w:rPr>
          <w:rFonts w:ascii="Garamond" w:hAnsi="Garamond"/>
          <w:sz w:val="24"/>
          <w:szCs w:val="24"/>
        </w:rPr>
        <w:t xml:space="preserve"> </w:t>
      </w:r>
      <w:r w:rsidR="00E158FA" w:rsidRPr="00925180">
        <w:rPr>
          <w:rFonts w:ascii="Garamond" w:hAnsi="Garamond"/>
          <w:b/>
          <w:bCs/>
          <w:i/>
          <w:iCs/>
          <w:sz w:val="24"/>
          <w:szCs w:val="24"/>
        </w:rPr>
        <w:t>Multi-purpose agency</w:t>
      </w:r>
      <w:r w:rsidR="00E158FA" w:rsidRPr="00925180">
        <w:rPr>
          <w:rStyle w:val="Rimandonotaapidipagina"/>
          <w:rFonts w:ascii="Garamond" w:hAnsi="Garamond"/>
          <w:b/>
          <w:bCs/>
          <w:i/>
          <w:iCs/>
          <w:sz w:val="24"/>
          <w:szCs w:val="24"/>
        </w:rPr>
        <w:footnoteReference w:id="5"/>
      </w:r>
      <w:r w:rsidR="00E158FA" w:rsidRPr="00925180">
        <w:rPr>
          <w:rFonts w:ascii="Garamond" w:hAnsi="Garamond"/>
          <w:b/>
          <w:bCs/>
          <w:sz w:val="24"/>
          <w:szCs w:val="24"/>
        </w:rPr>
        <w:t>.</w:t>
      </w:r>
    </w:p>
    <w:p w14:paraId="7E32A79D" w14:textId="1FFC825C" w:rsidR="004C7F81" w:rsidRPr="00925180" w:rsidRDefault="00852045" w:rsidP="004C7F81">
      <w:pPr>
        <w:jc w:val="both"/>
        <w:rPr>
          <w:rFonts w:ascii="Garamond" w:hAnsi="Garamond"/>
          <w:sz w:val="24"/>
          <w:szCs w:val="24"/>
        </w:rPr>
      </w:pPr>
      <w:r w:rsidRPr="00925180">
        <w:rPr>
          <w:rFonts w:ascii="Garamond" w:hAnsi="Garamond"/>
          <w:sz w:val="24"/>
          <w:szCs w:val="24"/>
        </w:rPr>
        <w:t>Per effetto del d.l. n. 90/2014 s</w:t>
      </w:r>
      <w:r w:rsidR="00160022" w:rsidRPr="00925180">
        <w:rPr>
          <w:rFonts w:ascii="Garamond" w:hAnsi="Garamond"/>
          <w:sz w:val="24"/>
          <w:szCs w:val="24"/>
        </w:rPr>
        <w:t>ono state attribuite invece al Dipartimento per la funzione pubblica</w:t>
      </w:r>
      <w:r w:rsidR="002D1E36" w:rsidRPr="00925180">
        <w:rPr>
          <w:rFonts w:ascii="Garamond" w:hAnsi="Garamond"/>
          <w:sz w:val="24"/>
          <w:szCs w:val="24"/>
        </w:rPr>
        <w:t xml:space="preserve"> presso la Presidenza del Consiglio dei ministri</w:t>
      </w:r>
      <w:r w:rsidR="00160022" w:rsidRPr="00925180">
        <w:rPr>
          <w:rFonts w:ascii="Garamond" w:hAnsi="Garamond"/>
          <w:sz w:val="24"/>
          <w:szCs w:val="24"/>
        </w:rPr>
        <w:t xml:space="preserve"> le funzioni in materia di </w:t>
      </w:r>
      <w:r w:rsidR="004C7F81" w:rsidRPr="00925180">
        <w:rPr>
          <w:rFonts w:ascii="Garamond" w:hAnsi="Garamond"/>
          <w:sz w:val="24"/>
          <w:szCs w:val="24"/>
        </w:rPr>
        <w:t xml:space="preserve">misurazione e valutazione della </w:t>
      </w:r>
      <w:r w:rsidR="00160022" w:rsidRPr="00925180">
        <w:rPr>
          <w:rFonts w:ascii="Garamond" w:hAnsi="Garamond"/>
          <w:sz w:val="24"/>
          <w:szCs w:val="24"/>
        </w:rPr>
        <w:t>performance riconducibili alla Civit</w:t>
      </w:r>
      <w:r w:rsidR="004C7F81" w:rsidRPr="00925180">
        <w:rPr>
          <w:rFonts w:ascii="Garamond" w:hAnsi="Garamond"/>
          <w:sz w:val="24"/>
          <w:szCs w:val="24"/>
        </w:rPr>
        <w:t>.</w:t>
      </w:r>
      <w:r w:rsidR="0017473A" w:rsidRPr="00925180">
        <w:rPr>
          <w:rFonts w:ascii="Garamond" w:hAnsi="Garamond"/>
          <w:sz w:val="24"/>
          <w:szCs w:val="24"/>
        </w:rPr>
        <w:t xml:space="preserve"> Di recente</w:t>
      </w:r>
      <w:r w:rsidR="002D1E36" w:rsidRPr="00925180">
        <w:rPr>
          <w:rFonts w:ascii="Garamond" w:hAnsi="Garamond"/>
          <w:sz w:val="24"/>
          <w:szCs w:val="24"/>
        </w:rPr>
        <w:t xml:space="preserve">, inoltre, per effetto del d.l. 9 giugno 2021, n. 80 </w:t>
      </w:r>
      <w:r w:rsidR="0017473A" w:rsidRPr="00925180">
        <w:rPr>
          <w:rFonts w:ascii="Garamond" w:hAnsi="Garamond"/>
          <w:sz w:val="24"/>
          <w:szCs w:val="24"/>
        </w:rPr>
        <w:t xml:space="preserve">sono state </w:t>
      </w:r>
      <w:r w:rsidR="002D1E36" w:rsidRPr="00925180">
        <w:rPr>
          <w:rFonts w:ascii="Garamond" w:hAnsi="Garamond"/>
          <w:sz w:val="24"/>
          <w:szCs w:val="24"/>
        </w:rPr>
        <w:t xml:space="preserve">assegnate al Dipartimento per la funzione pubblica, anche le funzioni in materia di </w:t>
      </w:r>
      <w:r w:rsidR="002D1E36" w:rsidRPr="00925180">
        <w:rPr>
          <w:rFonts w:ascii="Garamond" w:hAnsi="Garamond"/>
          <w:bCs/>
          <w:sz w:val="24"/>
          <w:szCs w:val="24"/>
        </w:rPr>
        <w:t>Piano integrato di attività e organizzazione</w:t>
      </w:r>
      <w:r w:rsidR="002D1E36" w:rsidRPr="00925180">
        <w:rPr>
          <w:rFonts w:ascii="Garamond" w:hAnsi="Garamond"/>
          <w:sz w:val="24"/>
          <w:szCs w:val="24"/>
        </w:rPr>
        <w:t xml:space="preserve"> – PIAO, documento di pianificazione obbligatorio per le PA dell’art. 1, co. 2, d.lgs. n. 165/2001, che ha al suo interno una sezione anticorruzione e trasparenza da adottarsi sulla base degli indirizzi Anac. </w:t>
      </w:r>
    </w:p>
    <w:p w14:paraId="7D063A35" w14:textId="6EA2DC34" w:rsidR="00852045" w:rsidRPr="00925180" w:rsidRDefault="004C7F81" w:rsidP="002536B6">
      <w:pPr>
        <w:jc w:val="both"/>
        <w:rPr>
          <w:rFonts w:ascii="Garamond" w:hAnsi="Garamond"/>
          <w:sz w:val="24"/>
          <w:szCs w:val="24"/>
        </w:rPr>
      </w:pPr>
      <w:r w:rsidRPr="00925180">
        <w:rPr>
          <w:rFonts w:ascii="Garamond" w:hAnsi="Garamond"/>
          <w:sz w:val="24"/>
          <w:szCs w:val="24"/>
        </w:rPr>
        <w:t>Nell’esercizio di tali funzioni, nel perimetro delle materie di cui al d.l. n. 90/2014, l’Anac svolge anche un</w:t>
      </w:r>
      <w:r w:rsidR="00691773" w:rsidRPr="00925180">
        <w:rPr>
          <w:rFonts w:ascii="Garamond" w:hAnsi="Garamond"/>
          <w:sz w:val="24"/>
          <w:szCs w:val="24"/>
        </w:rPr>
        <w:t>a significativa i</w:t>
      </w:r>
      <w:r w:rsidRPr="00925180">
        <w:rPr>
          <w:rFonts w:ascii="Garamond" w:hAnsi="Garamond"/>
          <w:sz w:val="24"/>
          <w:szCs w:val="24"/>
        </w:rPr>
        <w:t>nterazione con altre istituzioni.</w:t>
      </w:r>
      <w:r w:rsidR="00852045" w:rsidRPr="00925180">
        <w:rPr>
          <w:rFonts w:ascii="Garamond" w:hAnsi="Garamond"/>
          <w:sz w:val="24"/>
          <w:szCs w:val="24"/>
        </w:rPr>
        <w:t xml:space="preserve"> </w:t>
      </w:r>
      <w:r w:rsidRPr="00925180">
        <w:rPr>
          <w:rFonts w:ascii="Garamond" w:hAnsi="Garamond"/>
          <w:sz w:val="24"/>
          <w:szCs w:val="24"/>
        </w:rPr>
        <w:t>A tal proposito sono da menzionare, a titolo esemplificativo</w:t>
      </w:r>
      <w:r w:rsidR="00691773" w:rsidRPr="00925180">
        <w:rPr>
          <w:rFonts w:ascii="Garamond" w:hAnsi="Garamond"/>
          <w:sz w:val="24"/>
          <w:szCs w:val="24"/>
        </w:rPr>
        <w:t xml:space="preserve"> per rilievo istituzionale</w:t>
      </w:r>
      <w:r w:rsidRPr="00925180">
        <w:rPr>
          <w:rFonts w:ascii="Garamond" w:hAnsi="Garamond"/>
          <w:sz w:val="24"/>
          <w:szCs w:val="24"/>
        </w:rPr>
        <w:t xml:space="preserve">, la relazione annuale </w:t>
      </w:r>
      <w:r w:rsidR="005D7E41" w:rsidRPr="00925180">
        <w:rPr>
          <w:rFonts w:ascii="Garamond" w:hAnsi="Garamond"/>
          <w:sz w:val="24"/>
          <w:szCs w:val="24"/>
        </w:rPr>
        <w:t>al Parlamento</w:t>
      </w:r>
      <w:r w:rsidR="00691773" w:rsidRPr="00925180">
        <w:rPr>
          <w:rFonts w:ascii="Garamond" w:hAnsi="Garamond"/>
          <w:sz w:val="24"/>
          <w:szCs w:val="24"/>
        </w:rPr>
        <w:t xml:space="preserve"> sull’attività di contrasto della corruzione e dell’illegalità nella pubblica amministrazione e sull'efficacia delle disposizioni vigenti in materia, (art. l, comma 2, lett. g), l. n. 190/2012); il potere di segnalazione</w:t>
      </w:r>
      <w:r w:rsidR="00147959" w:rsidRPr="00925180">
        <w:rPr>
          <w:rFonts w:ascii="Garamond" w:hAnsi="Garamond"/>
          <w:sz w:val="24"/>
          <w:szCs w:val="24"/>
        </w:rPr>
        <w:t xml:space="preserve"> e di formulazione di proposte</w:t>
      </w:r>
      <w:r w:rsidR="00691773" w:rsidRPr="00925180">
        <w:rPr>
          <w:rFonts w:ascii="Garamond" w:hAnsi="Garamond"/>
          <w:sz w:val="24"/>
          <w:szCs w:val="24"/>
        </w:rPr>
        <w:t xml:space="preserve"> (art. 2</w:t>
      </w:r>
      <w:r w:rsidR="00147959" w:rsidRPr="00925180">
        <w:rPr>
          <w:rFonts w:ascii="Garamond" w:hAnsi="Garamond"/>
          <w:sz w:val="24"/>
          <w:szCs w:val="24"/>
        </w:rPr>
        <w:t>22</w:t>
      </w:r>
      <w:r w:rsidR="00691773" w:rsidRPr="00925180">
        <w:rPr>
          <w:rFonts w:ascii="Garamond" w:hAnsi="Garamond"/>
          <w:sz w:val="24"/>
          <w:szCs w:val="24"/>
        </w:rPr>
        <w:t>, comma 3, lett.</w:t>
      </w:r>
      <w:r w:rsidR="00147959" w:rsidRPr="00925180">
        <w:rPr>
          <w:rFonts w:ascii="Garamond" w:hAnsi="Garamond"/>
          <w:sz w:val="24"/>
          <w:szCs w:val="24"/>
        </w:rPr>
        <w:t>re</w:t>
      </w:r>
      <w:r w:rsidR="00691773" w:rsidRPr="00925180">
        <w:rPr>
          <w:rFonts w:ascii="Garamond" w:hAnsi="Garamond"/>
          <w:sz w:val="24"/>
          <w:szCs w:val="24"/>
        </w:rPr>
        <w:t xml:space="preserve"> </w:t>
      </w:r>
      <w:r w:rsidR="00147959" w:rsidRPr="00925180">
        <w:rPr>
          <w:rFonts w:ascii="Garamond" w:hAnsi="Garamond"/>
          <w:sz w:val="24"/>
          <w:szCs w:val="24"/>
        </w:rPr>
        <w:t>c</w:t>
      </w:r>
      <w:r w:rsidR="00691773" w:rsidRPr="00925180">
        <w:rPr>
          <w:rFonts w:ascii="Garamond" w:hAnsi="Garamond"/>
          <w:sz w:val="24"/>
          <w:szCs w:val="24"/>
        </w:rPr>
        <w:t>)</w:t>
      </w:r>
      <w:r w:rsidR="00147959" w:rsidRPr="00925180">
        <w:rPr>
          <w:rFonts w:ascii="Garamond" w:hAnsi="Garamond"/>
          <w:sz w:val="24"/>
          <w:szCs w:val="24"/>
        </w:rPr>
        <w:t xml:space="preserve"> e d)</w:t>
      </w:r>
      <w:r w:rsidR="00691773" w:rsidRPr="00925180">
        <w:rPr>
          <w:rFonts w:ascii="Garamond" w:hAnsi="Garamond"/>
          <w:sz w:val="24"/>
          <w:szCs w:val="24"/>
        </w:rPr>
        <w:t xml:space="preserve">, del d.lgs. n. </w:t>
      </w:r>
      <w:r w:rsidR="00147959" w:rsidRPr="00925180">
        <w:rPr>
          <w:rFonts w:ascii="Garamond" w:hAnsi="Garamond"/>
          <w:sz w:val="24"/>
          <w:szCs w:val="24"/>
        </w:rPr>
        <w:t>36/2023</w:t>
      </w:r>
      <w:r w:rsidR="00691773" w:rsidRPr="00925180">
        <w:rPr>
          <w:rFonts w:ascii="Garamond" w:hAnsi="Garamond"/>
          <w:sz w:val="24"/>
          <w:szCs w:val="24"/>
        </w:rPr>
        <w:t>)</w:t>
      </w:r>
      <w:r w:rsidR="00852045" w:rsidRPr="00925180">
        <w:rPr>
          <w:rFonts w:ascii="Garamond" w:hAnsi="Garamond"/>
          <w:sz w:val="24"/>
          <w:szCs w:val="24"/>
        </w:rPr>
        <w:t xml:space="preserve">. </w:t>
      </w:r>
      <w:r w:rsidR="002D1E36" w:rsidRPr="00925180">
        <w:rPr>
          <w:rFonts w:ascii="Garamond" w:hAnsi="Garamond"/>
          <w:sz w:val="24"/>
          <w:szCs w:val="24"/>
        </w:rPr>
        <w:t>Detta interazione è anche alla base della regolamentazione di secondo livello prevista dal nuovo Codice dei contratti pubblici</w:t>
      </w:r>
      <w:r w:rsidR="00126BC2" w:rsidRPr="00925180">
        <w:rPr>
          <w:rFonts w:ascii="Garamond" w:hAnsi="Garamond"/>
          <w:sz w:val="24"/>
          <w:szCs w:val="24"/>
        </w:rPr>
        <w:t xml:space="preserve">, </w:t>
      </w:r>
      <w:r w:rsidR="002D1E36" w:rsidRPr="00925180">
        <w:rPr>
          <w:rFonts w:ascii="Garamond" w:hAnsi="Garamond"/>
          <w:sz w:val="24"/>
          <w:szCs w:val="24"/>
        </w:rPr>
        <w:t>che demanda a regolamenti ai sensi dell’art. 17 della legge n. 400/19</w:t>
      </w:r>
      <w:r w:rsidR="00126BC2" w:rsidRPr="00925180">
        <w:rPr>
          <w:rFonts w:ascii="Garamond" w:hAnsi="Garamond"/>
          <w:sz w:val="24"/>
          <w:szCs w:val="24"/>
        </w:rPr>
        <w:t>8</w:t>
      </w:r>
      <w:r w:rsidR="002D1E36" w:rsidRPr="00925180">
        <w:rPr>
          <w:rFonts w:ascii="Garamond" w:hAnsi="Garamond"/>
          <w:sz w:val="24"/>
          <w:szCs w:val="24"/>
        </w:rPr>
        <w:t xml:space="preserve">8 la </w:t>
      </w:r>
      <w:r w:rsidR="00126BC2" w:rsidRPr="00925180">
        <w:rPr>
          <w:rFonts w:ascii="Garamond" w:hAnsi="Garamond"/>
          <w:sz w:val="24"/>
          <w:szCs w:val="24"/>
        </w:rPr>
        <w:t>sostituzione</w:t>
      </w:r>
      <w:r w:rsidR="002D1E36" w:rsidRPr="00925180">
        <w:rPr>
          <w:rFonts w:ascii="Garamond" w:hAnsi="Garamond"/>
          <w:sz w:val="24"/>
          <w:szCs w:val="24"/>
        </w:rPr>
        <w:t xml:space="preserve"> degli allegati al Codice con nuovi, alcuni </w:t>
      </w:r>
      <w:r w:rsidR="00126BC2" w:rsidRPr="00925180">
        <w:rPr>
          <w:rFonts w:ascii="Garamond" w:hAnsi="Garamond"/>
          <w:sz w:val="24"/>
          <w:szCs w:val="24"/>
        </w:rPr>
        <w:t xml:space="preserve">dei quali </w:t>
      </w:r>
      <w:r w:rsidR="002D1E36" w:rsidRPr="00925180">
        <w:rPr>
          <w:rFonts w:ascii="Garamond" w:hAnsi="Garamond"/>
          <w:sz w:val="24"/>
          <w:szCs w:val="24"/>
        </w:rPr>
        <w:t xml:space="preserve">da adottarsi </w:t>
      </w:r>
      <w:r w:rsidR="00126BC2" w:rsidRPr="00925180">
        <w:rPr>
          <w:rFonts w:ascii="Garamond" w:hAnsi="Garamond"/>
          <w:sz w:val="24"/>
          <w:szCs w:val="24"/>
        </w:rPr>
        <w:t>“</w:t>
      </w:r>
      <w:r w:rsidR="002D1E36" w:rsidRPr="00925180">
        <w:rPr>
          <w:rFonts w:ascii="Garamond" w:hAnsi="Garamond"/>
          <w:sz w:val="24"/>
          <w:szCs w:val="24"/>
        </w:rPr>
        <w:t>sentita l’Anac</w:t>
      </w:r>
      <w:r w:rsidR="00126BC2" w:rsidRPr="00925180">
        <w:rPr>
          <w:rFonts w:ascii="Garamond" w:hAnsi="Garamond"/>
          <w:sz w:val="24"/>
          <w:szCs w:val="24"/>
        </w:rPr>
        <w:t>”.</w:t>
      </w:r>
    </w:p>
    <w:p w14:paraId="64FE9190" w14:textId="66A903DE" w:rsidR="00067392" w:rsidRPr="00925180" w:rsidRDefault="000927A7" w:rsidP="002536B6">
      <w:pPr>
        <w:jc w:val="both"/>
        <w:rPr>
          <w:rFonts w:ascii="Garamond" w:hAnsi="Garamond"/>
          <w:sz w:val="24"/>
          <w:szCs w:val="24"/>
        </w:rPr>
      </w:pPr>
      <w:r w:rsidRPr="00925180">
        <w:rPr>
          <w:rFonts w:ascii="Garamond" w:hAnsi="Garamond"/>
          <w:sz w:val="24"/>
          <w:szCs w:val="24"/>
        </w:rPr>
        <w:t>Bench</w:t>
      </w:r>
      <w:r w:rsidR="00C43606" w:rsidRPr="00925180">
        <w:rPr>
          <w:rFonts w:ascii="Garamond" w:hAnsi="Garamond"/>
          <w:sz w:val="24"/>
          <w:szCs w:val="24"/>
        </w:rPr>
        <w:t>é</w:t>
      </w:r>
      <w:r w:rsidRPr="00925180">
        <w:rPr>
          <w:rFonts w:ascii="Garamond" w:hAnsi="Garamond"/>
          <w:sz w:val="24"/>
          <w:szCs w:val="24"/>
        </w:rPr>
        <w:t xml:space="preserve"> non regolamentate espressamente, rivestono grande peso nell’attività dell’Anac le relazioni internazionali e i p</w:t>
      </w:r>
      <w:r w:rsidR="00067392" w:rsidRPr="00925180">
        <w:rPr>
          <w:rFonts w:ascii="Garamond" w:hAnsi="Garamond"/>
          <w:sz w:val="24"/>
          <w:szCs w:val="24"/>
        </w:rPr>
        <w:t>rotocolli d’intesa</w:t>
      </w:r>
      <w:r w:rsidR="00A4056C" w:rsidRPr="00925180">
        <w:rPr>
          <w:rFonts w:ascii="Garamond" w:hAnsi="Garamond"/>
          <w:sz w:val="24"/>
          <w:szCs w:val="24"/>
        </w:rPr>
        <w:t xml:space="preserve"> con enti pubblici, autorità indipendenti, università e organizzazioni della società civile nelle materie della prevenzione della corruzione, della trasparenza e del whistleblowing.</w:t>
      </w:r>
    </w:p>
    <w:p w14:paraId="2FEF66E6" w14:textId="07C737C4" w:rsidR="0098778E" w:rsidRPr="00925180" w:rsidRDefault="005B00B2" w:rsidP="0098778E">
      <w:pPr>
        <w:jc w:val="both"/>
        <w:rPr>
          <w:rFonts w:ascii="Garamond" w:hAnsi="Garamond"/>
          <w:sz w:val="24"/>
          <w:szCs w:val="24"/>
        </w:rPr>
      </w:pPr>
      <w:r w:rsidRPr="00925180">
        <w:rPr>
          <w:rFonts w:ascii="Garamond" w:hAnsi="Garamond"/>
          <w:sz w:val="24"/>
          <w:szCs w:val="24"/>
        </w:rPr>
        <w:t>Quanto alla sua natura giuridica, l</w:t>
      </w:r>
      <w:r w:rsidR="0098778E" w:rsidRPr="00925180">
        <w:rPr>
          <w:rFonts w:ascii="Garamond" w:hAnsi="Garamond"/>
          <w:sz w:val="24"/>
          <w:szCs w:val="24"/>
        </w:rPr>
        <w:t xml:space="preserve">’Anac è sin dalla sua costituzione </w:t>
      </w:r>
      <w:r w:rsidRPr="00925180">
        <w:rPr>
          <w:rFonts w:ascii="Garamond" w:hAnsi="Garamond"/>
          <w:sz w:val="24"/>
          <w:szCs w:val="24"/>
        </w:rPr>
        <w:t xml:space="preserve">qualificata come </w:t>
      </w:r>
      <w:r w:rsidR="0098778E" w:rsidRPr="00925180">
        <w:rPr>
          <w:rFonts w:ascii="Garamond" w:hAnsi="Garamond"/>
          <w:sz w:val="24"/>
          <w:szCs w:val="24"/>
        </w:rPr>
        <w:t>un’Autorità indipendente, presentando tutti gli indici formali e sostanziali per la sua riconducibilità entro detto perimetro.</w:t>
      </w:r>
    </w:p>
    <w:p w14:paraId="0E4B43AC" w14:textId="77777777" w:rsidR="0098778E" w:rsidRPr="00925180" w:rsidRDefault="0098778E" w:rsidP="0098778E">
      <w:pPr>
        <w:jc w:val="both"/>
        <w:rPr>
          <w:rFonts w:ascii="Garamond" w:hAnsi="Garamond"/>
          <w:sz w:val="24"/>
          <w:szCs w:val="24"/>
        </w:rPr>
      </w:pPr>
      <w:r w:rsidRPr="00925180">
        <w:rPr>
          <w:rFonts w:ascii="Garamond" w:hAnsi="Garamond"/>
          <w:sz w:val="24"/>
          <w:szCs w:val="24"/>
        </w:rPr>
        <w:t>Anzitutto, su un piano formale, l’art. 22 del d.l. n. 90/2014, nell’elencare le Autorità indipendenti a cui trovano applicazione le misure di razionalizzazione previste, inserisce l’Anac espressamente nel novero delle autorità indipendenti, con ciò superando quei dubbi espressi in riferimento alla Civit, soprattutto da una parte della dottrina.</w:t>
      </w:r>
    </w:p>
    <w:p w14:paraId="786FE736" w14:textId="77777777" w:rsidR="0098778E" w:rsidRPr="00925180" w:rsidRDefault="0098778E" w:rsidP="0098778E">
      <w:pPr>
        <w:jc w:val="both"/>
        <w:rPr>
          <w:rFonts w:ascii="Garamond" w:hAnsi="Garamond"/>
          <w:sz w:val="24"/>
          <w:szCs w:val="24"/>
        </w:rPr>
      </w:pPr>
      <w:r w:rsidRPr="00925180">
        <w:rPr>
          <w:rFonts w:ascii="Garamond" w:hAnsi="Garamond"/>
          <w:sz w:val="24"/>
          <w:szCs w:val="24"/>
        </w:rPr>
        <w:t>Da un punto di vista sostanziale, l’</w:t>
      </w:r>
      <w:r w:rsidRPr="00925180">
        <w:rPr>
          <w:rFonts w:ascii="Garamond" w:hAnsi="Garamond"/>
          <w:b/>
          <w:sz w:val="24"/>
          <w:szCs w:val="24"/>
        </w:rPr>
        <w:t>indipendenza</w:t>
      </w:r>
      <w:r w:rsidRPr="00925180">
        <w:rPr>
          <w:rFonts w:ascii="Garamond" w:hAnsi="Garamond"/>
          <w:sz w:val="24"/>
          <w:szCs w:val="24"/>
        </w:rPr>
        <w:t xml:space="preserve"> è da intendersi </w:t>
      </w:r>
      <w:r w:rsidRPr="00925180">
        <w:rPr>
          <w:rFonts w:ascii="Garamond" w:hAnsi="Garamond"/>
          <w:b/>
          <w:sz w:val="24"/>
          <w:szCs w:val="24"/>
        </w:rPr>
        <w:t>rispetto al potere politico e dall’apparato governativo</w:t>
      </w:r>
      <w:r w:rsidRPr="00925180">
        <w:rPr>
          <w:rFonts w:ascii="Garamond" w:hAnsi="Garamond"/>
          <w:sz w:val="24"/>
          <w:szCs w:val="24"/>
        </w:rPr>
        <w:t xml:space="preserve"> e, al contempo, come</w:t>
      </w:r>
      <w:r w:rsidRPr="00925180">
        <w:rPr>
          <w:rFonts w:ascii="Garamond" w:hAnsi="Garamond"/>
          <w:b/>
          <w:bCs/>
          <w:iCs/>
          <w:sz w:val="24"/>
          <w:szCs w:val="24"/>
        </w:rPr>
        <w:t xml:space="preserve"> funzione neutrale </w:t>
      </w:r>
      <w:r w:rsidRPr="00925180">
        <w:rPr>
          <w:rFonts w:ascii="Garamond" w:hAnsi="Garamond"/>
          <w:sz w:val="24"/>
          <w:szCs w:val="24"/>
        </w:rPr>
        <w:t>caratterizzata dall’esercizio di discrezionalità tecnica</w:t>
      </w:r>
      <w:r w:rsidRPr="00925180">
        <w:rPr>
          <w:rStyle w:val="Rimandonotaapidipagina"/>
          <w:rFonts w:ascii="Garamond" w:hAnsi="Garamond"/>
          <w:sz w:val="24"/>
          <w:szCs w:val="24"/>
        </w:rPr>
        <w:footnoteReference w:id="6"/>
      </w:r>
      <w:r w:rsidRPr="00925180">
        <w:rPr>
          <w:rFonts w:ascii="Garamond" w:hAnsi="Garamond"/>
          <w:sz w:val="24"/>
          <w:szCs w:val="24"/>
        </w:rPr>
        <w:t>.</w:t>
      </w:r>
    </w:p>
    <w:p w14:paraId="7805F8A0" w14:textId="77777777" w:rsidR="0098778E" w:rsidRPr="00925180" w:rsidRDefault="0098778E" w:rsidP="0098778E">
      <w:pPr>
        <w:jc w:val="both"/>
        <w:rPr>
          <w:rFonts w:ascii="Garamond" w:hAnsi="Garamond"/>
          <w:sz w:val="24"/>
          <w:szCs w:val="24"/>
        </w:rPr>
      </w:pPr>
      <w:r w:rsidRPr="00925180">
        <w:rPr>
          <w:rFonts w:ascii="Garamond" w:hAnsi="Garamond"/>
          <w:sz w:val="24"/>
          <w:szCs w:val="24"/>
        </w:rPr>
        <w:lastRenderedPageBreak/>
        <w:t xml:space="preserve">In questi termini, l’indipendenza è garantita, così come per le altre autorità indipendenti, anzitutto dalle summenzionate modalità di selezione degli organi di indirizzo, sia da un punto di vista di soggetti da coinvolgere nella nomina che di requisiti di professionalità richiesti. A tal proposito, il Presidente e i componenti dell'Autorità non possono essere scelti tra persone che rivestono incarichi pubblici elettivi o cariche in partiti politici o in organizzazioni sindacali o che abbiano rivestito tali incarichi e cariche nei tre anni precedenti la nomina e, in ogni caso, non devono avere interessi di qualsiasi natura in conflitto con le funzioni dell’Autorità. </w:t>
      </w:r>
    </w:p>
    <w:p w14:paraId="182015A0" w14:textId="77777777" w:rsidR="0098778E" w:rsidRPr="00925180" w:rsidRDefault="0098778E" w:rsidP="0098778E">
      <w:pPr>
        <w:jc w:val="both"/>
        <w:rPr>
          <w:rFonts w:ascii="Garamond" w:hAnsi="Garamond"/>
          <w:sz w:val="24"/>
          <w:szCs w:val="24"/>
        </w:rPr>
      </w:pPr>
      <w:r w:rsidRPr="00925180">
        <w:rPr>
          <w:rFonts w:ascii="Garamond" w:hAnsi="Garamond"/>
          <w:sz w:val="24"/>
          <w:szCs w:val="24"/>
        </w:rPr>
        <w:t>E ancora, sempre quale strumento di indipendenza, la legge prevede all’art. 13, comma 3 (ultimo periodo), del d.lgs. n. 150/2009 che i componenti siano nominati per un periodo di sei anni e non possono essere confermati nella carica; di talché la durata in carica è sganciata dalla durata della legislatura.</w:t>
      </w:r>
    </w:p>
    <w:p w14:paraId="21EA6C93" w14:textId="18D710E5" w:rsidR="0098778E" w:rsidRPr="00925180" w:rsidRDefault="0098778E" w:rsidP="0098778E">
      <w:pPr>
        <w:jc w:val="both"/>
        <w:rPr>
          <w:rFonts w:ascii="Garamond" w:hAnsi="Garamond"/>
          <w:sz w:val="24"/>
          <w:szCs w:val="24"/>
        </w:rPr>
      </w:pPr>
      <w:r w:rsidRPr="00925180">
        <w:rPr>
          <w:rFonts w:ascii="Garamond" w:hAnsi="Garamond"/>
          <w:sz w:val="24"/>
          <w:szCs w:val="24"/>
        </w:rPr>
        <w:t xml:space="preserve">L'indipendenza è tale anche sotto il profilo organizzativo, atteso che l’Autorità definisce con propri regolamenti le norme concernenti il proprio funzionamento (si v., da ultimo, il </w:t>
      </w:r>
      <w:r w:rsidRPr="00925180">
        <w:rPr>
          <w:rFonts w:ascii="Garamond" w:hAnsi="Garamond"/>
          <w:bCs/>
          <w:i/>
          <w:sz w:val="24"/>
          <w:szCs w:val="24"/>
        </w:rPr>
        <w:t>Regolamento concernente l’organizzazione e il funzionamento dell’Autorità Nazionale Anticorruzione</w:t>
      </w:r>
      <w:r w:rsidRPr="00925180">
        <w:rPr>
          <w:rFonts w:ascii="Garamond" w:hAnsi="Garamond"/>
          <w:sz w:val="24"/>
          <w:szCs w:val="24"/>
        </w:rPr>
        <w:t>, disposto con delibera n. 1125 del 4 dicembre 2019</w:t>
      </w:r>
      <w:r w:rsidR="00843212" w:rsidRPr="00925180">
        <w:rPr>
          <w:rFonts w:ascii="Garamond" w:hAnsi="Garamond"/>
          <w:sz w:val="24"/>
          <w:szCs w:val="24"/>
        </w:rPr>
        <w:t xml:space="preserve"> e modificato, da ultimo, nel 2022</w:t>
      </w:r>
      <w:r w:rsidRPr="00925180">
        <w:rPr>
          <w:rFonts w:ascii="Garamond" w:hAnsi="Garamond"/>
          <w:sz w:val="24"/>
          <w:szCs w:val="24"/>
        </w:rPr>
        <w:t>).</w:t>
      </w:r>
    </w:p>
    <w:p w14:paraId="2EF704DA" w14:textId="4F2C653E" w:rsidR="00843212" w:rsidRPr="00925180" w:rsidRDefault="0098778E" w:rsidP="0098778E">
      <w:pPr>
        <w:jc w:val="both"/>
        <w:rPr>
          <w:rFonts w:ascii="Garamond" w:hAnsi="Garamond"/>
          <w:sz w:val="24"/>
          <w:szCs w:val="24"/>
        </w:rPr>
      </w:pPr>
      <w:r w:rsidRPr="00925180">
        <w:rPr>
          <w:rFonts w:ascii="Garamond" w:hAnsi="Garamond"/>
          <w:sz w:val="24"/>
          <w:szCs w:val="24"/>
        </w:rPr>
        <w:t>Ne conseguono un’indipendenza funzionale, di giudizio e di valutazione che consentono alla stessa di esercitare, nell’esercizio della discrezionalità tecnica che le spettano, le funzioni regolatorie, sanzionatorie e paragiurisdizionali summenzionate.</w:t>
      </w:r>
    </w:p>
    <w:p w14:paraId="063DAA38" w14:textId="30E62EC0" w:rsidR="00CE2391" w:rsidRPr="00925180" w:rsidRDefault="00126BC2" w:rsidP="0098778E">
      <w:pPr>
        <w:jc w:val="both"/>
        <w:rPr>
          <w:rFonts w:ascii="Garamond" w:hAnsi="Garamond"/>
          <w:sz w:val="24"/>
          <w:szCs w:val="24"/>
        </w:rPr>
      </w:pPr>
      <w:r w:rsidRPr="00925180">
        <w:rPr>
          <w:rFonts w:ascii="Garamond" w:hAnsi="Garamond"/>
          <w:sz w:val="24"/>
          <w:szCs w:val="24"/>
        </w:rPr>
        <w:t>L</w:t>
      </w:r>
      <w:r w:rsidR="00CE2391" w:rsidRPr="00925180">
        <w:rPr>
          <w:rFonts w:ascii="Garamond" w:hAnsi="Garamond"/>
          <w:sz w:val="24"/>
          <w:szCs w:val="24"/>
        </w:rPr>
        <w:t xml:space="preserve">a veste di autorità indipendente non l’ha comunque messa del tutto al riparo </w:t>
      </w:r>
      <w:r w:rsidRPr="00925180">
        <w:rPr>
          <w:rFonts w:ascii="Garamond" w:hAnsi="Garamond"/>
          <w:sz w:val="24"/>
          <w:szCs w:val="24"/>
        </w:rPr>
        <w:t xml:space="preserve">dai rischi di </w:t>
      </w:r>
      <w:r w:rsidR="00CE2391" w:rsidRPr="00925180">
        <w:rPr>
          <w:rFonts w:ascii="Garamond" w:hAnsi="Garamond"/>
          <w:sz w:val="24"/>
          <w:szCs w:val="24"/>
        </w:rPr>
        <w:t>strumentalizzazio</w:t>
      </w:r>
      <w:r w:rsidRPr="00925180">
        <w:rPr>
          <w:rFonts w:ascii="Garamond" w:hAnsi="Garamond"/>
          <w:sz w:val="24"/>
          <w:szCs w:val="24"/>
        </w:rPr>
        <w:t>ne</w:t>
      </w:r>
      <w:r w:rsidR="00CE2391" w:rsidRPr="00925180">
        <w:rPr>
          <w:rFonts w:ascii="Garamond" w:hAnsi="Garamond"/>
          <w:sz w:val="24"/>
          <w:szCs w:val="24"/>
        </w:rPr>
        <w:t xml:space="preserve"> </w:t>
      </w:r>
      <w:r w:rsidRPr="00925180">
        <w:rPr>
          <w:rFonts w:ascii="Garamond" w:hAnsi="Garamond"/>
          <w:sz w:val="24"/>
          <w:szCs w:val="24"/>
        </w:rPr>
        <w:t xml:space="preserve">delle correnti </w:t>
      </w:r>
      <w:r w:rsidR="00CE2391" w:rsidRPr="00925180">
        <w:rPr>
          <w:rFonts w:ascii="Garamond" w:hAnsi="Garamond"/>
          <w:sz w:val="24"/>
          <w:szCs w:val="24"/>
        </w:rPr>
        <w:t>politiche, quale conseguenza della risonanza mediatica delle materie trattate, che si sono tradott</w:t>
      </w:r>
      <w:r w:rsidRPr="00925180">
        <w:rPr>
          <w:rFonts w:ascii="Garamond" w:hAnsi="Garamond"/>
          <w:sz w:val="24"/>
          <w:szCs w:val="24"/>
        </w:rPr>
        <w:t>i</w:t>
      </w:r>
      <w:r w:rsidR="00CE2391" w:rsidRPr="00925180">
        <w:rPr>
          <w:rFonts w:ascii="Garamond" w:hAnsi="Garamond"/>
          <w:sz w:val="24"/>
          <w:szCs w:val="24"/>
        </w:rPr>
        <w:t xml:space="preserve"> nell’allargamento o, viceversa, progressiva restrizione del suo campo di azione, passando da periodi di interferenze in ogni ambito (anche non strettamente connesso a quello istituzionalmente assegnato all’ente) a rischi di erosione</w:t>
      </w:r>
      <w:r w:rsidRPr="00925180">
        <w:rPr>
          <w:rStyle w:val="Rimandonotaapidipagina"/>
          <w:rFonts w:ascii="Garamond" w:hAnsi="Garamond"/>
          <w:sz w:val="24"/>
          <w:szCs w:val="24"/>
        </w:rPr>
        <w:footnoteReference w:id="7"/>
      </w:r>
      <w:r w:rsidR="00CE2391" w:rsidRPr="00925180">
        <w:rPr>
          <w:rFonts w:ascii="Garamond" w:hAnsi="Garamond"/>
          <w:sz w:val="24"/>
          <w:szCs w:val="24"/>
        </w:rPr>
        <w:t>.</w:t>
      </w:r>
      <w:r w:rsidRPr="00925180">
        <w:rPr>
          <w:rFonts w:ascii="Garamond" w:hAnsi="Garamond"/>
          <w:sz w:val="24"/>
          <w:szCs w:val="24"/>
        </w:rPr>
        <w:t xml:space="preserve"> Ciò comunque senza scalfirne mai indipendenza della sua azione ed autorevolezza della sua opinione.</w:t>
      </w:r>
    </w:p>
    <w:p w14:paraId="15232A4A" w14:textId="77777777" w:rsidR="00801584" w:rsidRPr="00925180" w:rsidRDefault="00801584" w:rsidP="00801584">
      <w:pPr>
        <w:jc w:val="both"/>
        <w:rPr>
          <w:rFonts w:ascii="Garamond" w:hAnsi="Garamond"/>
          <w:b/>
          <w:sz w:val="24"/>
          <w:szCs w:val="24"/>
        </w:rPr>
      </w:pPr>
      <w:r w:rsidRPr="00925180">
        <w:rPr>
          <w:rFonts w:ascii="Garamond" w:hAnsi="Garamond"/>
          <w:b/>
          <w:sz w:val="24"/>
          <w:szCs w:val="24"/>
        </w:rPr>
        <w:t>3. Le materie: la trasparenza tra regolazione e vigilanza</w:t>
      </w:r>
    </w:p>
    <w:p w14:paraId="011A1EB8" w14:textId="2A72F251" w:rsidR="00C43606" w:rsidRPr="00925180" w:rsidRDefault="00BD38BC" w:rsidP="005F3F41">
      <w:pPr>
        <w:spacing w:after="0"/>
        <w:jc w:val="both"/>
        <w:rPr>
          <w:rFonts w:ascii="Garamond" w:hAnsi="Garamond"/>
          <w:sz w:val="24"/>
          <w:szCs w:val="24"/>
        </w:rPr>
      </w:pPr>
      <w:r w:rsidRPr="00925180">
        <w:rPr>
          <w:rFonts w:ascii="Garamond" w:hAnsi="Garamond"/>
          <w:sz w:val="24"/>
          <w:szCs w:val="24"/>
        </w:rPr>
        <w:t>M</w:t>
      </w:r>
      <w:r w:rsidR="00C43606" w:rsidRPr="00925180">
        <w:rPr>
          <w:rFonts w:ascii="Garamond" w:hAnsi="Garamond"/>
          <w:sz w:val="24"/>
          <w:szCs w:val="24"/>
        </w:rPr>
        <w:t xml:space="preserve">erita </w:t>
      </w:r>
      <w:r w:rsidRPr="00925180">
        <w:rPr>
          <w:rFonts w:ascii="Garamond" w:hAnsi="Garamond"/>
          <w:sz w:val="24"/>
          <w:szCs w:val="24"/>
        </w:rPr>
        <w:t xml:space="preserve">un approfondimento specifico </w:t>
      </w:r>
      <w:r w:rsidR="008C0BA1" w:rsidRPr="00925180">
        <w:rPr>
          <w:rFonts w:ascii="Garamond" w:hAnsi="Garamond"/>
          <w:sz w:val="24"/>
          <w:szCs w:val="24"/>
        </w:rPr>
        <w:t xml:space="preserve">una delle principali materie </w:t>
      </w:r>
      <w:r w:rsidR="00932C67" w:rsidRPr="00925180">
        <w:rPr>
          <w:rFonts w:ascii="Garamond" w:hAnsi="Garamond"/>
          <w:sz w:val="24"/>
          <w:szCs w:val="24"/>
        </w:rPr>
        <w:t xml:space="preserve">di carattere trasversale affidate alla </w:t>
      </w:r>
      <w:r w:rsidR="00C43606" w:rsidRPr="00925180">
        <w:rPr>
          <w:rFonts w:ascii="Garamond" w:hAnsi="Garamond"/>
          <w:sz w:val="24"/>
          <w:szCs w:val="24"/>
        </w:rPr>
        <w:t>competenza</w:t>
      </w:r>
      <w:r w:rsidR="008C0BA1" w:rsidRPr="00925180">
        <w:rPr>
          <w:rFonts w:ascii="Garamond" w:hAnsi="Garamond"/>
          <w:sz w:val="24"/>
          <w:szCs w:val="24"/>
        </w:rPr>
        <w:t xml:space="preserve"> dell’Autorità: la </w:t>
      </w:r>
      <w:r w:rsidR="008C0BA1" w:rsidRPr="00925180">
        <w:rPr>
          <w:rFonts w:ascii="Garamond" w:hAnsi="Garamond"/>
          <w:b/>
          <w:sz w:val="24"/>
          <w:szCs w:val="24"/>
        </w:rPr>
        <w:t>promozione della trasparenza</w:t>
      </w:r>
      <w:r w:rsidR="00C43606" w:rsidRPr="00925180">
        <w:rPr>
          <w:rFonts w:ascii="Garamond" w:hAnsi="Garamond"/>
          <w:b/>
          <w:sz w:val="24"/>
          <w:szCs w:val="24"/>
        </w:rPr>
        <w:t xml:space="preserve"> amministrativa</w:t>
      </w:r>
      <w:r w:rsidR="00C43606" w:rsidRPr="00925180">
        <w:rPr>
          <w:rFonts w:ascii="Garamond" w:hAnsi="Garamond"/>
          <w:sz w:val="24"/>
          <w:szCs w:val="24"/>
        </w:rPr>
        <w:t>.</w:t>
      </w:r>
    </w:p>
    <w:p w14:paraId="62193768" w14:textId="77777777" w:rsidR="005F3F41" w:rsidRPr="00925180" w:rsidRDefault="00196906" w:rsidP="005F3F41">
      <w:pPr>
        <w:spacing w:after="0"/>
        <w:jc w:val="both"/>
        <w:rPr>
          <w:rFonts w:ascii="Garamond" w:hAnsi="Garamond"/>
          <w:sz w:val="24"/>
          <w:szCs w:val="24"/>
        </w:rPr>
      </w:pPr>
      <w:r w:rsidRPr="00925180">
        <w:rPr>
          <w:rFonts w:ascii="Garamond" w:hAnsi="Garamond"/>
          <w:sz w:val="24"/>
          <w:szCs w:val="24"/>
        </w:rPr>
        <w:t>La trasparenza</w:t>
      </w:r>
      <w:r w:rsidR="005F3F41" w:rsidRPr="00925180">
        <w:rPr>
          <w:rFonts w:ascii="Garamond" w:hAnsi="Garamond"/>
          <w:sz w:val="24"/>
          <w:szCs w:val="24"/>
        </w:rPr>
        <w:t xml:space="preserve"> tutelata dall’Autorità è quella tratteggiata dal </w:t>
      </w:r>
      <w:r w:rsidR="005F3F41" w:rsidRPr="00925180">
        <w:rPr>
          <w:rFonts w:ascii="Garamond" w:hAnsi="Garamond"/>
          <w:b/>
          <w:sz w:val="24"/>
          <w:szCs w:val="24"/>
        </w:rPr>
        <w:t xml:space="preserve">d.lgs. 14 marzo 2013, n. 33 </w:t>
      </w:r>
      <w:r w:rsidR="005F3F41" w:rsidRPr="00925180">
        <w:rPr>
          <w:rFonts w:ascii="Garamond" w:hAnsi="Garamond"/>
          <w:sz w:val="24"/>
          <w:szCs w:val="24"/>
        </w:rPr>
        <w:t>e cioè</w:t>
      </w:r>
      <w:r w:rsidRPr="00925180">
        <w:rPr>
          <w:rFonts w:ascii="Garamond" w:hAnsi="Garamond"/>
          <w:sz w:val="24"/>
          <w:szCs w:val="24"/>
        </w:rPr>
        <w:t xml:space="preserve">, da intendersi come </w:t>
      </w:r>
      <w:r w:rsidR="005F3F41" w:rsidRPr="00925180">
        <w:rPr>
          <w:rFonts w:ascii="Garamond" w:hAnsi="Garamond"/>
          <w:sz w:val="24"/>
          <w:szCs w:val="24"/>
        </w:rPr>
        <w:t>“</w:t>
      </w:r>
      <w:r w:rsidRPr="00925180">
        <w:rPr>
          <w:rFonts w:ascii="Garamond" w:hAnsi="Garamond"/>
          <w:i/>
          <w:sz w:val="24"/>
          <w:szCs w:val="24"/>
        </w:rPr>
        <w:t>accessibilità totale dei dati e documenti detenuti dalle pubbliche amministrazioni</w:t>
      </w:r>
      <w:r w:rsidR="005F3F41" w:rsidRPr="00925180">
        <w:rPr>
          <w:rFonts w:ascii="Garamond" w:hAnsi="Garamond"/>
          <w:sz w:val="24"/>
          <w:szCs w:val="24"/>
        </w:rPr>
        <w:t>”</w:t>
      </w:r>
      <w:r w:rsidR="004A2293" w:rsidRPr="00925180">
        <w:rPr>
          <w:rStyle w:val="Rimandonotaapidipagina"/>
          <w:rFonts w:ascii="Garamond" w:hAnsi="Garamond"/>
          <w:sz w:val="24"/>
          <w:szCs w:val="24"/>
        </w:rPr>
        <w:footnoteReference w:id="8"/>
      </w:r>
      <w:r w:rsidR="005F3F41" w:rsidRPr="00925180">
        <w:rPr>
          <w:rFonts w:ascii="Garamond" w:hAnsi="Garamond"/>
          <w:sz w:val="24"/>
          <w:szCs w:val="24"/>
        </w:rPr>
        <w:t>.</w:t>
      </w:r>
    </w:p>
    <w:p w14:paraId="7C6F8452" w14:textId="24C313E7" w:rsidR="00F369C9" w:rsidRPr="00925180" w:rsidRDefault="005F3F41" w:rsidP="005F3F41">
      <w:pPr>
        <w:spacing w:after="0"/>
        <w:jc w:val="both"/>
        <w:rPr>
          <w:rFonts w:ascii="Garamond" w:hAnsi="Garamond"/>
          <w:sz w:val="24"/>
          <w:szCs w:val="24"/>
        </w:rPr>
      </w:pPr>
      <w:r w:rsidRPr="00925180">
        <w:rPr>
          <w:rFonts w:ascii="Garamond" w:hAnsi="Garamond"/>
          <w:sz w:val="24"/>
          <w:szCs w:val="24"/>
        </w:rPr>
        <w:t>Nell’ambito del d.lgs. n. 33/</w:t>
      </w:r>
      <w:r w:rsidR="00F369C9" w:rsidRPr="00925180">
        <w:rPr>
          <w:rFonts w:ascii="Garamond" w:hAnsi="Garamond"/>
          <w:sz w:val="24"/>
          <w:szCs w:val="24"/>
        </w:rPr>
        <w:t>2013 la trasparenza interessa</w:t>
      </w:r>
      <w:r w:rsidRPr="00925180">
        <w:rPr>
          <w:rFonts w:ascii="Garamond" w:hAnsi="Garamond"/>
          <w:sz w:val="24"/>
          <w:szCs w:val="24"/>
        </w:rPr>
        <w:t xml:space="preserve"> </w:t>
      </w:r>
      <w:r w:rsidR="00F369C9" w:rsidRPr="00925180">
        <w:rPr>
          <w:rFonts w:ascii="Garamond" w:hAnsi="Garamond"/>
          <w:sz w:val="24"/>
          <w:szCs w:val="24"/>
        </w:rPr>
        <w:t>categorie eterogenee di soggetti (</w:t>
      </w:r>
      <w:r w:rsidRPr="00925180">
        <w:rPr>
          <w:rFonts w:ascii="Garamond" w:hAnsi="Garamond"/>
          <w:sz w:val="24"/>
          <w:szCs w:val="24"/>
        </w:rPr>
        <w:t xml:space="preserve">le amministrazioni e </w:t>
      </w:r>
      <w:r w:rsidR="00F369C9" w:rsidRPr="00925180">
        <w:rPr>
          <w:rFonts w:ascii="Garamond" w:hAnsi="Garamond"/>
          <w:sz w:val="24"/>
          <w:szCs w:val="24"/>
        </w:rPr>
        <w:t>gli altr</w:t>
      </w:r>
      <w:r w:rsidRPr="00925180">
        <w:rPr>
          <w:rFonts w:ascii="Garamond" w:hAnsi="Garamond"/>
          <w:sz w:val="24"/>
          <w:szCs w:val="24"/>
        </w:rPr>
        <w:t xml:space="preserve">i soggetti di cui all’art. </w:t>
      </w:r>
      <w:r w:rsidR="00F369C9" w:rsidRPr="00925180">
        <w:rPr>
          <w:rFonts w:ascii="Garamond" w:hAnsi="Garamond"/>
          <w:sz w:val="24"/>
          <w:szCs w:val="24"/>
        </w:rPr>
        <w:t>2-</w:t>
      </w:r>
      <w:r w:rsidR="00F369C9" w:rsidRPr="00925180">
        <w:rPr>
          <w:rFonts w:ascii="Garamond" w:hAnsi="Garamond"/>
          <w:i/>
          <w:sz w:val="24"/>
          <w:szCs w:val="24"/>
        </w:rPr>
        <w:t>bis</w:t>
      </w:r>
      <w:r w:rsidR="00F369C9" w:rsidRPr="00925180">
        <w:rPr>
          <w:rFonts w:ascii="Garamond" w:hAnsi="Garamond"/>
          <w:sz w:val="24"/>
          <w:szCs w:val="24"/>
        </w:rPr>
        <w:t>, t</w:t>
      </w:r>
      <w:r w:rsidRPr="00925180">
        <w:rPr>
          <w:rFonts w:ascii="Garamond" w:hAnsi="Garamond"/>
          <w:sz w:val="24"/>
          <w:szCs w:val="24"/>
        </w:rPr>
        <w:t xml:space="preserve">ra cui </w:t>
      </w:r>
      <w:r w:rsidR="00F369C9" w:rsidRPr="00925180">
        <w:rPr>
          <w:rFonts w:ascii="Garamond" w:hAnsi="Garamond"/>
          <w:sz w:val="24"/>
          <w:szCs w:val="24"/>
        </w:rPr>
        <w:t xml:space="preserve">enti pubblici non economici, </w:t>
      </w:r>
      <w:r w:rsidRPr="00925180">
        <w:rPr>
          <w:rFonts w:ascii="Garamond" w:hAnsi="Garamond"/>
          <w:sz w:val="24"/>
          <w:szCs w:val="24"/>
        </w:rPr>
        <w:t>società, par</w:t>
      </w:r>
      <w:r w:rsidR="00F369C9" w:rsidRPr="00925180">
        <w:rPr>
          <w:rFonts w:ascii="Garamond" w:hAnsi="Garamond"/>
          <w:sz w:val="24"/>
          <w:szCs w:val="24"/>
        </w:rPr>
        <w:t>tecipate e controllate, enti di diritto privato che esercitano funzioni amministrative, …</w:t>
      </w:r>
      <w:r w:rsidR="00932C67" w:rsidRPr="00925180">
        <w:rPr>
          <w:rStyle w:val="Rimandonotaapidipagina"/>
          <w:rFonts w:ascii="Garamond" w:hAnsi="Garamond"/>
          <w:sz w:val="24"/>
          <w:szCs w:val="24"/>
        </w:rPr>
        <w:footnoteReference w:id="9"/>
      </w:r>
      <w:r w:rsidR="00F369C9" w:rsidRPr="00925180">
        <w:rPr>
          <w:rFonts w:ascii="Garamond" w:hAnsi="Garamond"/>
          <w:sz w:val="24"/>
          <w:szCs w:val="24"/>
        </w:rPr>
        <w:t>) e di oggetti (dati, documenti, informazioni). Essa si presenta sotto molteplici forme: dalla pubblicazione dei dati all’interno di una griglia preconfezionata dal legislatore, la pagin</w:t>
      </w:r>
      <w:r w:rsidR="00A4056C" w:rsidRPr="00925180">
        <w:rPr>
          <w:rFonts w:ascii="Garamond" w:hAnsi="Garamond"/>
          <w:sz w:val="24"/>
          <w:szCs w:val="24"/>
        </w:rPr>
        <w:t>a “Amministrazione trasparente”;</w:t>
      </w:r>
      <w:r w:rsidR="00F369C9" w:rsidRPr="00925180">
        <w:rPr>
          <w:rFonts w:ascii="Garamond" w:hAnsi="Garamond"/>
          <w:sz w:val="24"/>
          <w:szCs w:val="24"/>
        </w:rPr>
        <w:t xml:space="preserve"> all’accesso civico agli atti non pubblicati e</w:t>
      </w:r>
      <w:r w:rsidR="00A4056C" w:rsidRPr="00925180">
        <w:rPr>
          <w:rFonts w:ascii="Garamond" w:hAnsi="Garamond"/>
          <w:sz w:val="24"/>
          <w:szCs w:val="24"/>
        </w:rPr>
        <w:t xml:space="preserve"> all’accesso</w:t>
      </w:r>
      <w:r w:rsidR="00F369C9" w:rsidRPr="00925180">
        <w:rPr>
          <w:rFonts w:ascii="Garamond" w:hAnsi="Garamond"/>
          <w:sz w:val="24"/>
          <w:szCs w:val="24"/>
        </w:rPr>
        <w:t xml:space="preserve"> generalizzato per i dati ulteriori rispetto ai quali la pubblicazione non è imposta dalla legge, passando </w:t>
      </w:r>
      <w:r w:rsidR="00A4056C" w:rsidRPr="00925180">
        <w:rPr>
          <w:rFonts w:ascii="Garamond" w:hAnsi="Garamond"/>
          <w:sz w:val="24"/>
          <w:szCs w:val="24"/>
        </w:rPr>
        <w:t xml:space="preserve">infine </w:t>
      </w:r>
      <w:r w:rsidR="00F369C9" w:rsidRPr="00925180">
        <w:rPr>
          <w:rFonts w:ascii="Garamond" w:hAnsi="Garamond"/>
          <w:sz w:val="24"/>
          <w:szCs w:val="24"/>
        </w:rPr>
        <w:t>per l’intramontabile accesso agli atti ex l. n. 241/1990.</w:t>
      </w:r>
    </w:p>
    <w:p w14:paraId="5D34268A" w14:textId="67544B1C" w:rsidR="00F369C9" w:rsidRPr="00925180" w:rsidRDefault="00F369C9" w:rsidP="005F3F41">
      <w:pPr>
        <w:spacing w:after="0"/>
        <w:jc w:val="both"/>
        <w:rPr>
          <w:rFonts w:ascii="Garamond" w:hAnsi="Garamond"/>
          <w:sz w:val="24"/>
          <w:szCs w:val="24"/>
        </w:rPr>
      </w:pPr>
      <w:r w:rsidRPr="00925180">
        <w:rPr>
          <w:rFonts w:ascii="Garamond" w:hAnsi="Garamond"/>
          <w:sz w:val="24"/>
          <w:szCs w:val="24"/>
        </w:rPr>
        <w:lastRenderedPageBreak/>
        <w:t>Sono tutte sfaccettature di quell’accessibilità totale che è legata sì, a doppio filo, all’anticorruzione, della quale rappresenta la strategia portante</w:t>
      </w:r>
      <w:r w:rsidR="003411A9" w:rsidRPr="00925180">
        <w:rPr>
          <w:rFonts w:ascii="Garamond" w:hAnsi="Garamond"/>
          <w:sz w:val="24"/>
          <w:szCs w:val="24"/>
        </w:rPr>
        <w:t xml:space="preserve"> nella sua veste di forma di controllo sul perseguimento delle funzioni istituzionali e sull'utilizzo delle risorse pubbliche</w:t>
      </w:r>
      <w:r w:rsidRPr="00925180">
        <w:rPr>
          <w:rFonts w:ascii="Garamond" w:hAnsi="Garamond"/>
          <w:sz w:val="24"/>
          <w:szCs w:val="24"/>
        </w:rPr>
        <w:t>, ma non si limita solo a questa</w:t>
      </w:r>
      <w:r w:rsidR="000000DB" w:rsidRPr="00925180">
        <w:rPr>
          <w:rStyle w:val="Rimandonotaapidipagina"/>
          <w:rFonts w:ascii="Garamond" w:hAnsi="Garamond"/>
          <w:sz w:val="24"/>
          <w:szCs w:val="24"/>
        </w:rPr>
        <w:footnoteReference w:id="10"/>
      </w:r>
      <w:r w:rsidRPr="00925180">
        <w:rPr>
          <w:rFonts w:ascii="Garamond" w:hAnsi="Garamond"/>
          <w:sz w:val="24"/>
          <w:szCs w:val="24"/>
        </w:rPr>
        <w:t xml:space="preserve">. </w:t>
      </w:r>
    </w:p>
    <w:p w14:paraId="34B75393" w14:textId="771619E8" w:rsidR="003411A9" w:rsidRPr="00925180" w:rsidRDefault="00F369C9" w:rsidP="003411A9">
      <w:pPr>
        <w:spacing w:after="0"/>
        <w:jc w:val="both"/>
        <w:rPr>
          <w:rFonts w:ascii="Garamond" w:hAnsi="Garamond"/>
          <w:sz w:val="24"/>
          <w:szCs w:val="24"/>
        </w:rPr>
      </w:pPr>
      <w:r w:rsidRPr="00925180">
        <w:rPr>
          <w:rFonts w:ascii="Garamond" w:hAnsi="Garamond"/>
          <w:sz w:val="24"/>
          <w:szCs w:val="24"/>
        </w:rPr>
        <w:t>La trasparenza è anche</w:t>
      </w:r>
      <w:r w:rsidR="003411A9" w:rsidRPr="00925180">
        <w:rPr>
          <w:rFonts w:ascii="Garamond" w:hAnsi="Garamond"/>
          <w:sz w:val="24"/>
          <w:szCs w:val="24"/>
        </w:rPr>
        <w:t>,</w:t>
      </w:r>
      <w:r w:rsidRPr="00925180">
        <w:rPr>
          <w:rFonts w:ascii="Garamond" w:hAnsi="Garamond"/>
          <w:sz w:val="24"/>
          <w:szCs w:val="24"/>
        </w:rPr>
        <w:t xml:space="preserve"> </w:t>
      </w:r>
      <w:r w:rsidR="00BD38BC" w:rsidRPr="00925180">
        <w:rPr>
          <w:rFonts w:ascii="Garamond" w:hAnsi="Garamond"/>
          <w:sz w:val="24"/>
          <w:szCs w:val="24"/>
        </w:rPr>
        <w:t xml:space="preserve">infatti, </w:t>
      </w:r>
      <w:r w:rsidR="003411A9" w:rsidRPr="00925180">
        <w:rPr>
          <w:rFonts w:ascii="Garamond" w:hAnsi="Garamond"/>
          <w:sz w:val="24"/>
          <w:szCs w:val="24"/>
        </w:rPr>
        <w:t xml:space="preserve">come espressamente sancito dal legislatore, </w:t>
      </w:r>
      <w:r w:rsidRPr="00925180">
        <w:rPr>
          <w:rFonts w:ascii="Garamond" w:hAnsi="Garamond"/>
          <w:sz w:val="24"/>
          <w:szCs w:val="24"/>
        </w:rPr>
        <w:t xml:space="preserve">strumento di partecipazione </w:t>
      </w:r>
      <w:r w:rsidR="003411A9" w:rsidRPr="00925180">
        <w:rPr>
          <w:rFonts w:ascii="Garamond" w:hAnsi="Garamond"/>
          <w:sz w:val="24"/>
          <w:szCs w:val="24"/>
        </w:rPr>
        <w:t xml:space="preserve">degli interessati all'attività amministrativa </w:t>
      </w:r>
      <w:r w:rsidRPr="00925180">
        <w:rPr>
          <w:rFonts w:ascii="Garamond" w:hAnsi="Garamond"/>
          <w:sz w:val="24"/>
          <w:szCs w:val="24"/>
        </w:rPr>
        <w:t>e, dunque, è anche strumento di democrazia</w:t>
      </w:r>
      <w:r w:rsidR="00BD38BC" w:rsidRPr="00925180">
        <w:rPr>
          <w:rFonts w:ascii="Garamond" w:hAnsi="Garamond"/>
          <w:sz w:val="24"/>
          <w:szCs w:val="24"/>
        </w:rPr>
        <w:t xml:space="preserve"> (art. 1, comma 1)</w:t>
      </w:r>
      <w:r w:rsidR="003411A9" w:rsidRPr="00925180">
        <w:rPr>
          <w:rFonts w:ascii="Garamond" w:hAnsi="Garamond"/>
          <w:sz w:val="24"/>
          <w:szCs w:val="24"/>
        </w:rPr>
        <w:t>. E ancora, la trasparenza è condizione di garanzia delle libertà individuali e collettive, nonché dei diritti civili, politici e sociali, integra il diritto ad una buona amministrazione e concorre alla realizzazione di una amministrazione aperta, al servizio del cittadino</w:t>
      </w:r>
      <w:r w:rsidR="00BD38BC" w:rsidRPr="00925180">
        <w:rPr>
          <w:rFonts w:ascii="Garamond" w:hAnsi="Garamond"/>
          <w:sz w:val="24"/>
          <w:szCs w:val="24"/>
        </w:rPr>
        <w:t xml:space="preserve"> (art. 1, comma 2)</w:t>
      </w:r>
      <w:r w:rsidR="003411A9" w:rsidRPr="00925180">
        <w:rPr>
          <w:rFonts w:ascii="Garamond" w:hAnsi="Garamond"/>
          <w:sz w:val="24"/>
          <w:szCs w:val="24"/>
        </w:rPr>
        <w:t>.</w:t>
      </w:r>
    </w:p>
    <w:p w14:paraId="7857DA34" w14:textId="77777777" w:rsidR="005858A8" w:rsidRPr="00925180" w:rsidRDefault="003411A9" w:rsidP="005858A8">
      <w:pPr>
        <w:spacing w:after="0"/>
        <w:jc w:val="both"/>
        <w:rPr>
          <w:rFonts w:ascii="Garamond" w:hAnsi="Garamond"/>
          <w:sz w:val="24"/>
          <w:szCs w:val="24"/>
        </w:rPr>
      </w:pPr>
      <w:r w:rsidRPr="00925180">
        <w:rPr>
          <w:rFonts w:ascii="Garamond" w:hAnsi="Garamond"/>
          <w:sz w:val="24"/>
          <w:szCs w:val="24"/>
        </w:rPr>
        <w:t>In questi termini la trasparenza riveste un indubbio rilievo costituzionale, quale corollario del princi</w:t>
      </w:r>
      <w:r w:rsidR="00A4056C" w:rsidRPr="00925180">
        <w:rPr>
          <w:rFonts w:ascii="Garamond" w:hAnsi="Garamond"/>
          <w:sz w:val="24"/>
          <w:szCs w:val="24"/>
        </w:rPr>
        <w:t xml:space="preserve">pio democratico (art. 1, </w:t>
      </w:r>
      <w:r w:rsidRPr="00925180">
        <w:rPr>
          <w:rFonts w:ascii="Garamond" w:hAnsi="Garamond"/>
          <w:sz w:val="24"/>
          <w:szCs w:val="24"/>
        </w:rPr>
        <w:t>Cost.), ma anche, ai sensi dell’art. 97 Cost., del buon funzionamento dell’amministrazione (sentenze n. 177 e n. 69 del 2018, n. 212 del 2017). Principi che, nella legislazione interna, tendono ormai a manifestarsi, nella loro declinazione soggettiva, nella forma di un diritto dei cittadini ad accedere ai dati in possesso della pubblica amministrazione, come del resto stabilisce l’art. 1, comma 1, del d.lgs. n. 33 del 2013. Nel diritto europeo, la medesima ispirazione ha condotto il Trattato di Lisbona a inserire il diritto di accedere ai documenti in possesso delle autorità europee tra le «Disposizioni di applicazione generale» del Trattato sul funzionamento dell’Unione, imponendo di considerare il diritto di accesso ad essi quale principio generale del diritto europeo (art. 15, paragrafo 3, primo comma, TFUE e art. 42 CDFUE).</w:t>
      </w:r>
    </w:p>
    <w:p w14:paraId="204BB3E0" w14:textId="77777777" w:rsidR="005858A8" w:rsidRPr="00925180" w:rsidRDefault="008B22F4" w:rsidP="005858A8">
      <w:pPr>
        <w:spacing w:after="0"/>
        <w:jc w:val="both"/>
        <w:rPr>
          <w:rFonts w:ascii="Garamond" w:hAnsi="Garamond"/>
          <w:sz w:val="24"/>
          <w:szCs w:val="24"/>
        </w:rPr>
      </w:pPr>
      <w:r w:rsidRPr="00925180">
        <w:rPr>
          <w:rFonts w:ascii="Garamond" w:hAnsi="Garamond"/>
          <w:sz w:val="24"/>
          <w:szCs w:val="24"/>
        </w:rPr>
        <w:t>Tale principio di trasparenza richiede di essere bilanciato</w:t>
      </w:r>
      <w:r w:rsidR="003411A9" w:rsidRPr="00925180">
        <w:rPr>
          <w:rFonts w:ascii="Garamond" w:hAnsi="Garamond"/>
          <w:sz w:val="24"/>
          <w:szCs w:val="24"/>
        </w:rPr>
        <w:t xml:space="preserve"> </w:t>
      </w:r>
      <w:r w:rsidRPr="00925180">
        <w:rPr>
          <w:rFonts w:ascii="Garamond" w:hAnsi="Garamond"/>
          <w:sz w:val="24"/>
          <w:szCs w:val="24"/>
        </w:rPr>
        <w:t>con il diritto</w:t>
      </w:r>
      <w:r w:rsidR="003411A9" w:rsidRPr="00925180">
        <w:rPr>
          <w:rFonts w:ascii="Garamond" w:hAnsi="Garamond"/>
          <w:sz w:val="24"/>
          <w:szCs w:val="24"/>
        </w:rPr>
        <w:t xml:space="preserve"> alla riservatezza</w:t>
      </w:r>
      <w:r w:rsidRPr="00925180">
        <w:rPr>
          <w:rFonts w:ascii="Garamond" w:hAnsi="Garamond"/>
          <w:sz w:val="24"/>
          <w:szCs w:val="24"/>
        </w:rPr>
        <w:t xml:space="preserve">, </w:t>
      </w:r>
      <w:r w:rsidR="003411A9" w:rsidRPr="00925180">
        <w:rPr>
          <w:rFonts w:ascii="Garamond" w:hAnsi="Garamond"/>
          <w:sz w:val="24"/>
          <w:szCs w:val="24"/>
        </w:rPr>
        <w:t>soprattutto nel nuovo scenario digitale</w:t>
      </w:r>
      <w:r w:rsidR="00C03D31" w:rsidRPr="00925180">
        <w:rPr>
          <w:rFonts w:ascii="Garamond" w:hAnsi="Garamond"/>
          <w:sz w:val="24"/>
          <w:szCs w:val="24"/>
        </w:rPr>
        <w:t>, come rappresentato da</w:t>
      </w:r>
      <w:r w:rsidRPr="00925180">
        <w:rPr>
          <w:rFonts w:ascii="Garamond" w:hAnsi="Garamond"/>
          <w:sz w:val="24"/>
          <w:szCs w:val="24"/>
        </w:rPr>
        <w:t>lla sentenza della Corte costituzionale nella sentenza n. 20 del 23 gennaio 2019</w:t>
      </w:r>
      <w:r w:rsidR="00C03D31" w:rsidRPr="00925180">
        <w:rPr>
          <w:rFonts w:ascii="Garamond" w:hAnsi="Garamond"/>
          <w:sz w:val="24"/>
          <w:szCs w:val="24"/>
        </w:rPr>
        <w:t xml:space="preserve"> nella quale alla pubblicità viene data una lettura coerente con il principio di proporzionalità</w:t>
      </w:r>
      <w:r w:rsidR="004C4AC8" w:rsidRPr="00925180">
        <w:rPr>
          <w:rStyle w:val="Rimandonotaapidipagina"/>
          <w:rFonts w:ascii="Garamond" w:hAnsi="Garamond"/>
          <w:sz w:val="24"/>
          <w:szCs w:val="24"/>
        </w:rPr>
        <w:footnoteReference w:id="11"/>
      </w:r>
      <w:r w:rsidR="004C4AC8" w:rsidRPr="00925180">
        <w:rPr>
          <w:rFonts w:ascii="Garamond" w:hAnsi="Garamond"/>
          <w:sz w:val="24"/>
          <w:szCs w:val="24"/>
        </w:rPr>
        <w:t>.</w:t>
      </w:r>
    </w:p>
    <w:p w14:paraId="22312EC1" w14:textId="3021EB46" w:rsidR="005858A8" w:rsidRPr="00925180" w:rsidRDefault="00A24304" w:rsidP="005858A8">
      <w:pPr>
        <w:spacing w:after="0"/>
        <w:jc w:val="both"/>
        <w:rPr>
          <w:rFonts w:ascii="Garamond" w:hAnsi="Garamond"/>
          <w:sz w:val="24"/>
          <w:szCs w:val="24"/>
        </w:rPr>
      </w:pPr>
      <w:r w:rsidRPr="00925180">
        <w:rPr>
          <w:rFonts w:ascii="Garamond" w:hAnsi="Garamond"/>
          <w:sz w:val="24"/>
          <w:szCs w:val="24"/>
        </w:rPr>
        <w:t xml:space="preserve">Il ruolo assegnato all’Anac in materia è riconducibile alle </w:t>
      </w:r>
      <w:r w:rsidRPr="00925180">
        <w:rPr>
          <w:rFonts w:ascii="Garamond" w:hAnsi="Garamond"/>
          <w:b/>
          <w:sz w:val="24"/>
          <w:szCs w:val="24"/>
        </w:rPr>
        <w:t>funzioni di vigilanza e controllo</w:t>
      </w:r>
      <w:r w:rsidRPr="00925180">
        <w:rPr>
          <w:rFonts w:ascii="Garamond" w:hAnsi="Garamond"/>
          <w:sz w:val="24"/>
          <w:szCs w:val="24"/>
        </w:rPr>
        <w:t xml:space="preserve"> sull’effettiva applicazione delle misure disposte dal d.lgs. n. 33/2013, ai sensi dell’art. 1, comma 2, lett. f)</w:t>
      </w:r>
      <w:r w:rsidR="00061CC7" w:rsidRPr="00925180">
        <w:rPr>
          <w:rFonts w:ascii="Garamond" w:hAnsi="Garamond"/>
          <w:sz w:val="24"/>
          <w:szCs w:val="24"/>
        </w:rPr>
        <w:t>, l. n. 190/2012</w:t>
      </w:r>
      <w:r w:rsidRPr="00925180">
        <w:rPr>
          <w:rFonts w:ascii="Garamond" w:hAnsi="Garamond"/>
          <w:sz w:val="24"/>
          <w:szCs w:val="24"/>
        </w:rPr>
        <w:t xml:space="preserve"> e dell’art 45, d.lgs. n. 33/</w:t>
      </w:r>
      <w:r w:rsidR="00061CC7" w:rsidRPr="00925180">
        <w:rPr>
          <w:rFonts w:ascii="Garamond" w:hAnsi="Garamond"/>
          <w:sz w:val="24"/>
          <w:szCs w:val="24"/>
        </w:rPr>
        <w:t xml:space="preserve">2013, da esercitarsi sia con strumenti di tipo regolatorio sia con strumenti di carattere </w:t>
      </w:r>
      <w:r w:rsidR="00061CC7" w:rsidRPr="00925180">
        <w:rPr>
          <w:rFonts w:ascii="Garamond" w:hAnsi="Garamond"/>
          <w:i/>
          <w:sz w:val="24"/>
          <w:szCs w:val="24"/>
        </w:rPr>
        <w:t>lato sensu</w:t>
      </w:r>
      <w:r w:rsidR="00061CC7" w:rsidRPr="00925180">
        <w:rPr>
          <w:rFonts w:ascii="Garamond" w:hAnsi="Garamond"/>
          <w:sz w:val="24"/>
          <w:szCs w:val="24"/>
        </w:rPr>
        <w:t xml:space="preserve"> sanzionatorio.</w:t>
      </w:r>
    </w:p>
    <w:p w14:paraId="2D20A20C" w14:textId="17FB63D2" w:rsidR="00C1677D" w:rsidRPr="00925180" w:rsidRDefault="008C0BA1" w:rsidP="005858A8">
      <w:pPr>
        <w:spacing w:after="0"/>
        <w:jc w:val="both"/>
        <w:rPr>
          <w:rFonts w:ascii="Garamond" w:hAnsi="Garamond"/>
          <w:sz w:val="24"/>
          <w:szCs w:val="24"/>
        </w:rPr>
      </w:pPr>
      <w:r w:rsidRPr="00925180">
        <w:rPr>
          <w:rFonts w:ascii="Garamond" w:hAnsi="Garamond"/>
          <w:sz w:val="24"/>
          <w:szCs w:val="24"/>
        </w:rPr>
        <w:t>Nel rispetto di quanto sancito dalla legge n. 190/2012 e dal d.lgs. n. 33/2013 la trasparenza è perseguita dall’Ana</w:t>
      </w:r>
      <w:r w:rsidR="00DF286D" w:rsidRPr="00925180">
        <w:rPr>
          <w:rFonts w:ascii="Garamond" w:hAnsi="Garamond"/>
          <w:sz w:val="24"/>
          <w:szCs w:val="24"/>
        </w:rPr>
        <w:t xml:space="preserve">c in un’ottica di “regolazione” </w:t>
      </w:r>
      <w:r w:rsidR="00BF2018" w:rsidRPr="00925180">
        <w:rPr>
          <w:rFonts w:ascii="Garamond" w:hAnsi="Garamond"/>
          <w:sz w:val="24"/>
          <w:szCs w:val="24"/>
        </w:rPr>
        <w:t xml:space="preserve">anzitutto </w:t>
      </w:r>
      <w:r w:rsidR="00DF286D" w:rsidRPr="00925180">
        <w:rPr>
          <w:rFonts w:ascii="Garamond" w:hAnsi="Garamond"/>
          <w:sz w:val="24"/>
          <w:szCs w:val="24"/>
        </w:rPr>
        <w:t xml:space="preserve">con </w:t>
      </w:r>
      <w:r w:rsidR="00DF286D" w:rsidRPr="00925180">
        <w:rPr>
          <w:rFonts w:ascii="Garamond" w:hAnsi="Garamond"/>
          <w:b/>
          <w:sz w:val="24"/>
          <w:szCs w:val="24"/>
        </w:rPr>
        <w:t>il Piano nazionale anticorruzione (PNA)</w:t>
      </w:r>
      <w:r w:rsidR="00DF286D" w:rsidRPr="00925180">
        <w:rPr>
          <w:rFonts w:ascii="Garamond" w:hAnsi="Garamond"/>
          <w:sz w:val="24"/>
          <w:szCs w:val="24"/>
        </w:rPr>
        <w:t>, adottato con cadenza annuale ai sensi dell’art. 1, comma 2-</w:t>
      </w:r>
      <w:r w:rsidR="00DF286D" w:rsidRPr="00925180">
        <w:rPr>
          <w:rFonts w:ascii="Garamond" w:hAnsi="Garamond"/>
          <w:i/>
          <w:sz w:val="24"/>
          <w:szCs w:val="24"/>
        </w:rPr>
        <w:t>bis</w:t>
      </w:r>
      <w:r w:rsidR="00DF286D" w:rsidRPr="00925180">
        <w:rPr>
          <w:rFonts w:ascii="Garamond" w:hAnsi="Garamond"/>
          <w:sz w:val="24"/>
          <w:szCs w:val="24"/>
        </w:rPr>
        <w:t xml:space="preserve">, l. n. 190/2012 al fine di indirizzare le pubbliche amministrazione nell’attività di contrasto alla corruzione e che prevede, al suo interno, un’apposita sezione trasparenza. Nella cornice generale tracciata dal PNA, l’Anac interviene a regolare le misure di trasparenza emettendo </w:t>
      </w:r>
      <w:r w:rsidR="00DF286D" w:rsidRPr="00925180">
        <w:rPr>
          <w:rFonts w:ascii="Garamond" w:hAnsi="Garamond"/>
          <w:b/>
          <w:sz w:val="24"/>
          <w:szCs w:val="24"/>
        </w:rPr>
        <w:t>pareri</w:t>
      </w:r>
      <w:r w:rsidR="00DF286D" w:rsidRPr="00925180">
        <w:rPr>
          <w:rFonts w:ascii="Garamond" w:hAnsi="Garamond"/>
          <w:sz w:val="24"/>
          <w:szCs w:val="24"/>
        </w:rPr>
        <w:t xml:space="preserve"> alle amministrazioni che ve ne facciano richiesta e, soprattutto, adottando strumenti di </w:t>
      </w:r>
      <w:r w:rsidR="00DF286D" w:rsidRPr="00925180">
        <w:rPr>
          <w:rFonts w:ascii="Garamond" w:hAnsi="Garamond"/>
          <w:i/>
          <w:sz w:val="24"/>
          <w:szCs w:val="24"/>
        </w:rPr>
        <w:t>soft law</w:t>
      </w:r>
      <w:r w:rsidR="00DF286D" w:rsidRPr="00925180">
        <w:rPr>
          <w:rFonts w:ascii="Garamond" w:hAnsi="Garamond"/>
          <w:sz w:val="24"/>
          <w:szCs w:val="24"/>
        </w:rPr>
        <w:t xml:space="preserve"> quali </w:t>
      </w:r>
      <w:r w:rsidR="00DF286D" w:rsidRPr="00925180">
        <w:rPr>
          <w:rFonts w:ascii="Garamond" w:hAnsi="Garamond"/>
          <w:b/>
          <w:sz w:val="24"/>
          <w:szCs w:val="24"/>
        </w:rPr>
        <w:t>linee guida</w:t>
      </w:r>
      <w:r w:rsidR="00DF286D" w:rsidRPr="00925180">
        <w:rPr>
          <w:rFonts w:ascii="Garamond" w:hAnsi="Garamond"/>
          <w:sz w:val="24"/>
          <w:szCs w:val="24"/>
        </w:rPr>
        <w:t xml:space="preserve"> settoriali che contengono misure esplicative e chiarimenti generali sugli obblighi applicabili. Tra le </w:t>
      </w:r>
      <w:r w:rsidR="00BF2018" w:rsidRPr="00925180">
        <w:rPr>
          <w:rFonts w:ascii="Garamond" w:hAnsi="Garamond"/>
          <w:sz w:val="24"/>
          <w:szCs w:val="24"/>
        </w:rPr>
        <w:t>misure regolatorie</w:t>
      </w:r>
      <w:r w:rsidR="00DF286D" w:rsidRPr="00925180">
        <w:rPr>
          <w:rFonts w:ascii="Garamond" w:hAnsi="Garamond"/>
          <w:sz w:val="24"/>
          <w:szCs w:val="24"/>
        </w:rPr>
        <w:t xml:space="preserve"> adottate rivestono particolare importanza, per il carattere generale, </w:t>
      </w:r>
      <w:r w:rsidR="00BF2018" w:rsidRPr="00925180">
        <w:rPr>
          <w:rFonts w:ascii="Garamond" w:hAnsi="Garamond"/>
          <w:sz w:val="24"/>
          <w:szCs w:val="24"/>
        </w:rPr>
        <w:t xml:space="preserve">le linee guida adottate con </w:t>
      </w:r>
      <w:r w:rsidR="00BF2018" w:rsidRPr="00925180">
        <w:rPr>
          <w:rFonts w:ascii="Garamond" w:hAnsi="Garamond"/>
          <w:b/>
          <w:sz w:val="24"/>
          <w:szCs w:val="24"/>
        </w:rPr>
        <w:t>delibera n. 1310 del 28 dicembre 2016</w:t>
      </w:r>
      <w:r w:rsidR="00BF2018" w:rsidRPr="00925180">
        <w:rPr>
          <w:rFonts w:ascii="Garamond" w:hAnsi="Garamond"/>
          <w:sz w:val="24"/>
          <w:szCs w:val="24"/>
        </w:rPr>
        <w:t xml:space="preserve">, nel cui ambito è previsto </w:t>
      </w:r>
      <w:r w:rsidR="00C1677D" w:rsidRPr="00925180">
        <w:rPr>
          <w:rFonts w:ascii="Garamond" w:hAnsi="Garamond"/>
          <w:sz w:val="24"/>
          <w:szCs w:val="24"/>
        </w:rPr>
        <w:t>l’elenco</w:t>
      </w:r>
      <w:r w:rsidR="00BF2018" w:rsidRPr="00925180">
        <w:rPr>
          <w:rFonts w:ascii="Garamond" w:hAnsi="Garamond"/>
          <w:sz w:val="24"/>
          <w:szCs w:val="24"/>
        </w:rPr>
        <w:t xml:space="preserve"> contenente </w:t>
      </w:r>
      <w:r w:rsidR="00C1677D" w:rsidRPr="00925180">
        <w:rPr>
          <w:rFonts w:ascii="Garamond" w:hAnsi="Garamond"/>
          <w:sz w:val="24"/>
          <w:szCs w:val="24"/>
        </w:rPr>
        <w:t>il dettaglio de</w:t>
      </w:r>
      <w:r w:rsidR="00BF2018" w:rsidRPr="00925180">
        <w:rPr>
          <w:rFonts w:ascii="Garamond" w:hAnsi="Garamond"/>
          <w:sz w:val="24"/>
          <w:szCs w:val="24"/>
        </w:rPr>
        <w:t>gli obblighi di pubblicazione</w:t>
      </w:r>
      <w:r w:rsidR="00C1677D" w:rsidRPr="00925180">
        <w:rPr>
          <w:rFonts w:ascii="Garamond" w:hAnsi="Garamond"/>
          <w:sz w:val="24"/>
          <w:szCs w:val="24"/>
        </w:rPr>
        <w:t>, modellato sulla base dell’allegato A del d.lgs. n. 33/2013 e contenente dettaglio sui dati da pubblicare per ciascuna sottosezione, nonché le tempistiche di pubblicazione.</w:t>
      </w:r>
    </w:p>
    <w:p w14:paraId="07C2346A" w14:textId="566521EC" w:rsidR="005858A8" w:rsidRPr="00925180" w:rsidRDefault="005858A8" w:rsidP="005858A8">
      <w:pPr>
        <w:spacing w:after="0"/>
        <w:jc w:val="both"/>
        <w:rPr>
          <w:rFonts w:ascii="Garamond" w:hAnsi="Garamond"/>
          <w:sz w:val="24"/>
          <w:szCs w:val="24"/>
        </w:rPr>
      </w:pPr>
      <w:r w:rsidRPr="00925180">
        <w:rPr>
          <w:rFonts w:ascii="Garamond" w:hAnsi="Garamond"/>
          <w:sz w:val="24"/>
          <w:szCs w:val="24"/>
        </w:rPr>
        <w:t>In materia di trasparenza, il ruolo dell’Anac è destinato ad acquisire contorni nuovi</w:t>
      </w:r>
      <w:r w:rsidR="0074007C" w:rsidRPr="00925180">
        <w:rPr>
          <w:rFonts w:ascii="Garamond" w:hAnsi="Garamond"/>
          <w:sz w:val="24"/>
          <w:szCs w:val="24"/>
        </w:rPr>
        <w:t>, sia in termini di oggetto che di funzioni,</w:t>
      </w:r>
      <w:r w:rsidRPr="00925180">
        <w:rPr>
          <w:rFonts w:ascii="Garamond" w:hAnsi="Garamond"/>
          <w:sz w:val="24"/>
          <w:szCs w:val="24"/>
        </w:rPr>
        <w:t xml:space="preserve"> </w:t>
      </w:r>
      <w:r w:rsidR="0074007C" w:rsidRPr="00925180">
        <w:rPr>
          <w:rFonts w:ascii="Garamond" w:hAnsi="Garamond"/>
          <w:sz w:val="24"/>
          <w:szCs w:val="24"/>
        </w:rPr>
        <w:t xml:space="preserve">con </w:t>
      </w:r>
      <w:r w:rsidRPr="00925180">
        <w:rPr>
          <w:rFonts w:ascii="Garamond" w:hAnsi="Garamond"/>
          <w:sz w:val="24"/>
          <w:szCs w:val="24"/>
        </w:rPr>
        <w:t xml:space="preserve">l’entrata in vigore della </w:t>
      </w:r>
      <w:r w:rsidRPr="00925180">
        <w:rPr>
          <w:rFonts w:ascii="Garamond" w:hAnsi="Garamond"/>
          <w:b/>
          <w:sz w:val="24"/>
          <w:szCs w:val="24"/>
        </w:rPr>
        <w:t>piattaforma unica della trasparenza</w:t>
      </w:r>
      <w:r w:rsidRPr="00925180">
        <w:rPr>
          <w:rFonts w:ascii="Garamond" w:hAnsi="Garamond"/>
          <w:sz w:val="24"/>
          <w:szCs w:val="24"/>
        </w:rPr>
        <w:t xml:space="preserve"> che verrà istituita presso l’Anac.</w:t>
      </w:r>
      <w:r w:rsidR="0074007C" w:rsidRPr="00925180">
        <w:rPr>
          <w:rFonts w:ascii="Garamond" w:hAnsi="Garamond"/>
          <w:sz w:val="24"/>
          <w:szCs w:val="24"/>
        </w:rPr>
        <w:t xml:space="preserve"> </w:t>
      </w:r>
    </w:p>
    <w:p w14:paraId="40616A06" w14:textId="51964057" w:rsidR="005858A8" w:rsidRPr="00925180" w:rsidRDefault="0074007C" w:rsidP="005858A8">
      <w:pPr>
        <w:spacing w:after="0"/>
        <w:jc w:val="both"/>
        <w:rPr>
          <w:rFonts w:ascii="Garamond" w:hAnsi="Garamond"/>
          <w:sz w:val="24"/>
          <w:szCs w:val="24"/>
        </w:rPr>
      </w:pPr>
      <w:r w:rsidRPr="00925180">
        <w:rPr>
          <w:rFonts w:ascii="Garamond" w:hAnsi="Garamond"/>
          <w:sz w:val="24"/>
          <w:szCs w:val="24"/>
        </w:rPr>
        <w:lastRenderedPageBreak/>
        <w:t xml:space="preserve">La piattaforma, per ora sono delineata in nuce dal legislatore, non è ancora operativa ma se ne conoscono gli elementi essenziale. </w:t>
      </w:r>
      <w:r w:rsidR="005858A8" w:rsidRPr="00925180">
        <w:rPr>
          <w:rFonts w:ascii="Garamond" w:hAnsi="Garamond"/>
          <w:sz w:val="24"/>
          <w:szCs w:val="24"/>
        </w:rPr>
        <w:t xml:space="preserve">Si tratterà di un unico luogo virtuale, accessibile a chiunque (al quale dovrebbero rinviare i siti istituzionali degli enti interessati) nel quale potrebbero convergere auspicabilmente tutte le informazioni del d.lgs. n. 33/2013, una sorta di portale di portali, un punto unico di accesso e consultazione, in grado di semplificare sia le attività di pubblicazione da parte delle amministrazioni che di consultazione. </w:t>
      </w:r>
    </w:p>
    <w:p w14:paraId="742D45C3" w14:textId="5B50D717" w:rsidR="005858A8" w:rsidRPr="00925180" w:rsidRDefault="005858A8" w:rsidP="005858A8">
      <w:pPr>
        <w:spacing w:after="0"/>
        <w:jc w:val="both"/>
        <w:rPr>
          <w:rFonts w:ascii="Garamond" w:hAnsi="Garamond"/>
          <w:sz w:val="24"/>
          <w:szCs w:val="24"/>
        </w:rPr>
      </w:pPr>
      <w:r w:rsidRPr="00925180">
        <w:rPr>
          <w:rFonts w:ascii="Garamond" w:hAnsi="Garamond"/>
          <w:sz w:val="24"/>
          <w:szCs w:val="24"/>
        </w:rPr>
        <w:t xml:space="preserve">Ad oggi i riferimenti normativi alla “piattaforma unica” sono contenuti nel d.lgs. 23 dicembre 2022, n. 2022 </w:t>
      </w:r>
      <w:r w:rsidR="0074007C" w:rsidRPr="00925180">
        <w:rPr>
          <w:rFonts w:ascii="Garamond" w:hAnsi="Garamond"/>
          <w:sz w:val="24"/>
          <w:szCs w:val="24"/>
        </w:rPr>
        <w:t xml:space="preserve">n. 201 </w:t>
      </w:r>
      <w:r w:rsidRPr="00925180">
        <w:rPr>
          <w:rFonts w:ascii="Garamond" w:hAnsi="Garamond"/>
          <w:sz w:val="24"/>
          <w:szCs w:val="24"/>
        </w:rPr>
        <w:t xml:space="preserve">di riordino della normativa in materia di servizi pubblici essenziali, e nel </w:t>
      </w:r>
      <w:r w:rsidR="0074007C" w:rsidRPr="00925180">
        <w:rPr>
          <w:rFonts w:ascii="Garamond" w:hAnsi="Garamond"/>
          <w:sz w:val="24"/>
          <w:szCs w:val="24"/>
        </w:rPr>
        <w:t xml:space="preserve">d.lgs. n. 36/2023, </w:t>
      </w:r>
      <w:r w:rsidRPr="00925180">
        <w:rPr>
          <w:rFonts w:ascii="Garamond" w:hAnsi="Garamond"/>
          <w:sz w:val="24"/>
          <w:szCs w:val="24"/>
        </w:rPr>
        <w:t>il nuov</w:t>
      </w:r>
      <w:r w:rsidR="00E11D7F" w:rsidRPr="00925180">
        <w:rPr>
          <w:rFonts w:ascii="Garamond" w:hAnsi="Garamond"/>
          <w:sz w:val="24"/>
          <w:szCs w:val="24"/>
        </w:rPr>
        <w:t>o Codice dei contratti pubblici.</w:t>
      </w:r>
    </w:p>
    <w:p w14:paraId="07DA4507" w14:textId="0FE230B2" w:rsidR="005858A8" w:rsidRPr="00925180" w:rsidRDefault="00E11D7F" w:rsidP="005858A8">
      <w:pPr>
        <w:spacing w:after="0"/>
        <w:jc w:val="both"/>
        <w:rPr>
          <w:rFonts w:ascii="Garamond" w:hAnsi="Garamond"/>
          <w:sz w:val="24"/>
          <w:szCs w:val="24"/>
        </w:rPr>
      </w:pPr>
      <w:r w:rsidRPr="00925180">
        <w:rPr>
          <w:rFonts w:ascii="Garamond" w:hAnsi="Garamond"/>
          <w:sz w:val="24"/>
          <w:szCs w:val="24"/>
        </w:rPr>
        <w:t xml:space="preserve">Il meccanismo giuridico, come si evince da tali fonti, </w:t>
      </w:r>
      <w:r w:rsidR="005858A8" w:rsidRPr="00925180">
        <w:rPr>
          <w:rFonts w:ascii="Garamond" w:hAnsi="Garamond"/>
          <w:sz w:val="24"/>
          <w:szCs w:val="24"/>
        </w:rPr>
        <w:t xml:space="preserve">è quello di “gestione” e “pubblicazione” dei dati ad opera di uno stesso soggetto giuridico, l’Anac, </w:t>
      </w:r>
      <w:r w:rsidR="0074007C" w:rsidRPr="00925180">
        <w:rPr>
          <w:rFonts w:ascii="Garamond" w:hAnsi="Garamond"/>
          <w:sz w:val="24"/>
          <w:szCs w:val="24"/>
        </w:rPr>
        <w:t xml:space="preserve">all’interno di </w:t>
      </w:r>
      <w:r w:rsidR="005858A8" w:rsidRPr="00925180">
        <w:rPr>
          <w:rFonts w:ascii="Garamond" w:hAnsi="Garamond"/>
          <w:sz w:val="24"/>
          <w:szCs w:val="24"/>
        </w:rPr>
        <w:t>un’unica banca dati. Praticamente</w:t>
      </w:r>
      <w:r w:rsidR="0074007C" w:rsidRPr="00925180">
        <w:rPr>
          <w:rFonts w:ascii="Garamond" w:hAnsi="Garamond"/>
          <w:sz w:val="24"/>
          <w:szCs w:val="24"/>
        </w:rPr>
        <w:t>,</w:t>
      </w:r>
      <w:r w:rsidR="005858A8" w:rsidRPr="00925180">
        <w:rPr>
          <w:rFonts w:ascii="Garamond" w:hAnsi="Garamond"/>
          <w:sz w:val="24"/>
          <w:szCs w:val="24"/>
        </w:rPr>
        <w:t xml:space="preserve"> lo stesso</w:t>
      </w:r>
      <w:r w:rsidR="0074007C" w:rsidRPr="00925180">
        <w:rPr>
          <w:rFonts w:ascii="Garamond" w:hAnsi="Garamond"/>
          <w:sz w:val="24"/>
          <w:szCs w:val="24"/>
        </w:rPr>
        <w:t xml:space="preserve"> schema</w:t>
      </w:r>
      <w:r w:rsidR="005858A8" w:rsidRPr="00925180">
        <w:rPr>
          <w:rFonts w:ascii="Garamond" w:hAnsi="Garamond"/>
          <w:sz w:val="24"/>
          <w:szCs w:val="24"/>
        </w:rPr>
        <w:t xml:space="preserve"> seguito in materia di appalti pubblici </w:t>
      </w:r>
      <w:r w:rsidRPr="00925180">
        <w:rPr>
          <w:rFonts w:ascii="Garamond" w:hAnsi="Garamond"/>
          <w:sz w:val="24"/>
          <w:szCs w:val="24"/>
        </w:rPr>
        <w:t xml:space="preserve">per la Banca dati nazionale dei contratti pubblici </w:t>
      </w:r>
      <w:r w:rsidR="005858A8" w:rsidRPr="00925180">
        <w:rPr>
          <w:rFonts w:ascii="Garamond" w:hAnsi="Garamond"/>
          <w:sz w:val="24"/>
          <w:szCs w:val="24"/>
        </w:rPr>
        <w:t>dal d.l. 31 maggio 2021, n. 77 e oggi ripreso dall’art. 28 del d.lgs. n. 36/2023</w:t>
      </w:r>
      <w:r w:rsidR="0074007C" w:rsidRPr="00925180">
        <w:rPr>
          <w:rFonts w:ascii="Garamond" w:hAnsi="Garamond"/>
          <w:sz w:val="24"/>
          <w:szCs w:val="24"/>
        </w:rPr>
        <w:t>.</w:t>
      </w:r>
      <w:r w:rsidR="005858A8" w:rsidRPr="00925180">
        <w:rPr>
          <w:rFonts w:ascii="Garamond" w:hAnsi="Garamond"/>
          <w:sz w:val="24"/>
          <w:szCs w:val="24"/>
        </w:rPr>
        <w:t xml:space="preserve"> </w:t>
      </w:r>
    </w:p>
    <w:p w14:paraId="5B96C255" w14:textId="77777777" w:rsidR="005858A8" w:rsidRPr="00925180" w:rsidRDefault="005858A8" w:rsidP="005858A8">
      <w:pPr>
        <w:spacing w:after="0"/>
        <w:jc w:val="both"/>
        <w:rPr>
          <w:rFonts w:ascii="Garamond" w:hAnsi="Garamond"/>
          <w:sz w:val="24"/>
          <w:szCs w:val="24"/>
        </w:rPr>
      </w:pPr>
      <w:r w:rsidRPr="00925180">
        <w:rPr>
          <w:rFonts w:ascii="Garamond" w:hAnsi="Garamond"/>
          <w:sz w:val="24"/>
          <w:szCs w:val="24"/>
        </w:rPr>
        <w:t xml:space="preserve">Tale sistema, se sperimentato con successo nel campo dei contratti pubblici, alla luce della circostanza per cui è l’unico ambito nel quale i dati sono già previsti </w:t>
      </w:r>
      <w:r w:rsidRPr="00925180">
        <w:rPr>
          <w:rFonts w:ascii="Garamond" w:hAnsi="Garamond"/>
          <w:i/>
          <w:sz w:val="24"/>
          <w:szCs w:val="24"/>
        </w:rPr>
        <w:t>ex lege</w:t>
      </w:r>
      <w:r w:rsidRPr="00925180">
        <w:rPr>
          <w:rFonts w:ascii="Garamond" w:hAnsi="Garamond"/>
          <w:sz w:val="24"/>
          <w:szCs w:val="24"/>
        </w:rPr>
        <w:t xml:space="preserve"> in formato aperto, potrebbe essere riprodotto anche in altri ambiti della trasparenza amministrativa, auspicabilmente anche per gradi.</w:t>
      </w:r>
    </w:p>
    <w:p w14:paraId="7EA608D2" w14:textId="4A7D69BD" w:rsidR="00537315" w:rsidRPr="00925180" w:rsidRDefault="00C1677D" w:rsidP="00EE4EF7">
      <w:pPr>
        <w:spacing w:before="240" w:after="0"/>
        <w:jc w:val="both"/>
        <w:rPr>
          <w:rFonts w:ascii="Garamond" w:hAnsi="Garamond"/>
          <w:sz w:val="24"/>
          <w:szCs w:val="24"/>
        </w:rPr>
      </w:pPr>
      <w:r w:rsidRPr="00925180">
        <w:rPr>
          <w:rFonts w:ascii="Garamond" w:hAnsi="Garamond"/>
          <w:sz w:val="24"/>
          <w:szCs w:val="24"/>
        </w:rPr>
        <w:t xml:space="preserve">I prossimi scenari </w:t>
      </w:r>
      <w:r w:rsidR="00A56BD7" w:rsidRPr="00925180">
        <w:rPr>
          <w:rFonts w:ascii="Garamond" w:hAnsi="Garamond"/>
          <w:sz w:val="24"/>
          <w:szCs w:val="24"/>
        </w:rPr>
        <w:t>regolatori</w:t>
      </w:r>
      <w:r w:rsidR="0074007C" w:rsidRPr="00925180">
        <w:rPr>
          <w:rFonts w:ascii="Garamond" w:hAnsi="Garamond"/>
          <w:sz w:val="24"/>
          <w:szCs w:val="24"/>
        </w:rPr>
        <w:t>, pertanto,</w:t>
      </w:r>
      <w:r w:rsidRPr="00925180">
        <w:rPr>
          <w:rFonts w:ascii="Garamond" w:hAnsi="Garamond"/>
          <w:sz w:val="24"/>
          <w:szCs w:val="24"/>
        </w:rPr>
        <w:t xml:space="preserve"> saranno incentrati </w:t>
      </w:r>
      <w:r w:rsidR="0074007C" w:rsidRPr="00925180">
        <w:rPr>
          <w:rFonts w:ascii="Garamond" w:hAnsi="Garamond"/>
          <w:sz w:val="24"/>
          <w:szCs w:val="24"/>
        </w:rPr>
        <w:t>sulla piattaforma unica della trasparenza</w:t>
      </w:r>
      <w:r w:rsidR="00537315" w:rsidRPr="00925180">
        <w:rPr>
          <w:rFonts w:ascii="Garamond" w:hAnsi="Garamond"/>
          <w:sz w:val="24"/>
          <w:szCs w:val="24"/>
        </w:rPr>
        <w:t xml:space="preserve">, </w:t>
      </w:r>
      <w:r w:rsidR="00EE4EF7" w:rsidRPr="00925180">
        <w:rPr>
          <w:rFonts w:ascii="Garamond" w:hAnsi="Garamond"/>
          <w:sz w:val="24"/>
          <w:szCs w:val="24"/>
        </w:rPr>
        <w:t>sotto f</w:t>
      </w:r>
      <w:r w:rsidR="0074007C" w:rsidRPr="00925180">
        <w:rPr>
          <w:rFonts w:ascii="Garamond" w:hAnsi="Garamond"/>
          <w:sz w:val="24"/>
          <w:szCs w:val="24"/>
        </w:rPr>
        <w:t xml:space="preserve">orma di definizione di criteri per l’interconnessione e interoperabilità </w:t>
      </w:r>
      <w:r w:rsidR="00537315" w:rsidRPr="00925180">
        <w:rPr>
          <w:rFonts w:ascii="Garamond" w:hAnsi="Garamond"/>
          <w:sz w:val="24"/>
          <w:szCs w:val="24"/>
        </w:rPr>
        <w:t>dei documenti, delle informazioni e dei dati oggetto</w:t>
      </w:r>
      <w:r w:rsidR="00EE4EF7" w:rsidRPr="00925180">
        <w:rPr>
          <w:rFonts w:ascii="Garamond" w:hAnsi="Garamond"/>
          <w:sz w:val="24"/>
          <w:szCs w:val="24"/>
        </w:rPr>
        <w:t xml:space="preserve"> di pubblicazione </w:t>
      </w:r>
      <w:r w:rsidR="00537315" w:rsidRPr="00925180">
        <w:rPr>
          <w:rFonts w:ascii="Garamond" w:hAnsi="Garamond"/>
          <w:sz w:val="24"/>
          <w:szCs w:val="24"/>
        </w:rPr>
        <w:t>obbligato</w:t>
      </w:r>
      <w:r w:rsidR="00EE4EF7" w:rsidRPr="00925180">
        <w:rPr>
          <w:rFonts w:ascii="Garamond" w:hAnsi="Garamond"/>
          <w:sz w:val="24"/>
          <w:szCs w:val="24"/>
        </w:rPr>
        <w:t>ria ai sensi della normativa</w:t>
      </w:r>
      <w:r w:rsidR="00537315" w:rsidRPr="00925180">
        <w:rPr>
          <w:rFonts w:ascii="Garamond" w:hAnsi="Garamond"/>
          <w:sz w:val="24"/>
          <w:szCs w:val="24"/>
        </w:rPr>
        <w:t xml:space="preserve"> vigente</w:t>
      </w:r>
      <w:r w:rsidR="00EE4EF7" w:rsidRPr="00925180">
        <w:rPr>
          <w:rFonts w:ascii="Garamond" w:hAnsi="Garamond"/>
          <w:sz w:val="24"/>
          <w:szCs w:val="24"/>
        </w:rPr>
        <w:t>, nell’ottica di una maggiore semplificazione e standardizzazione dei dati</w:t>
      </w:r>
      <w:r w:rsidR="004C4AC8" w:rsidRPr="00925180">
        <w:rPr>
          <w:rStyle w:val="Rimandonotaapidipagina"/>
          <w:rFonts w:ascii="Garamond" w:hAnsi="Garamond"/>
          <w:sz w:val="24"/>
          <w:szCs w:val="24"/>
        </w:rPr>
        <w:footnoteReference w:id="12"/>
      </w:r>
      <w:r w:rsidR="00EE4EF7" w:rsidRPr="00925180">
        <w:rPr>
          <w:rFonts w:ascii="Garamond" w:hAnsi="Garamond"/>
          <w:sz w:val="24"/>
          <w:szCs w:val="24"/>
        </w:rPr>
        <w:t>.</w:t>
      </w:r>
    </w:p>
    <w:p w14:paraId="42AD4BA9" w14:textId="77777777" w:rsidR="00DF286D" w:rsidRPr="00925180" w:rsidRDefault="00EE4EF7" w:rsidP="00DF286D">
      <w:pPr>
        <w:spacing w:before="240" w:after="0"/>
        <w:jc w:val="both"/>
        <w:rPr>
          <w:rFonts w:ascii="Garamond" w:hAnsi="Garamond"/>
          <w:sz w:val="24"/>
          <w:szCs w:val="24"/>
        </w:rPr>
      </w:pPr>
      <w:r w:rsidRPr="00925180">
        <w:rPr>
          <w:rFonts w:ascii="Garamond" w:hAnsi="Garamond"/>
          <w:sz w:val="24"/>
          <w:szCs w:val="24"/>
        </w:rPr>
        <w:t>La trasparenza è tutelata dall’Anac anche in una prospettiva sanzionatoria. Sul punto</w:t>
      </w:r>
      <w:r w:rsidR="009324D4" w:rsidRPr="00925180">
        <w:rPr>
          <w:rFonts w:ascii="Garamond" w:hAnsi="Garamond"/>
          <w:sz w:val="24"/>
          <w:szCs w:val="24"/>
        </w:rPr>
        <w:t>,</w:t>
      </w:r>
      <w:r w:rsidRPr="00925180">
        <w:rPr>
          <w:rFonts w:ascii="Garamond" w:hAnsi="Garamond"/>
          <w:sz w:val="24"/>
          <w:szCs w:val="24"/>
        </w:rPr>
        <w:t xml:space="preserve"> l’art. 45 del d.lgs. n. 33/2013, in continuità con quanto già previsto dalla legge n. 190/2012 prevede che l’Autorità eserciti poteri ispettivi mediante richiesta di notizie, informazioni, atti e documenti alle amministrazioni pubbliche e </w:t>
      </w:r>
      <w:r w:rsidR="009324D4" w:rsidRPr="00925180">
        <w:rPr>
          <w:rFonts w:ascii="Garamond" w:hAnsi="Garamond"/>
          <w:sz w:val="24"/>
          <w:szCs w:val="24"/>
        </w:rPr>
        <w:t xml:space="preserve">poteri di ordine riguardanti </w:t>
      </w:r>
      <w:r w:rsidRPr="00925180">
        <w:rPr>
          <w:rFonts w:ascii="Garamond" w:hAnsi="Garamond"/>
          <w:sz w:val="24"/>
          <w:szCs w:val="24"/>
        </w:rPr>
        <w:t>la pubblicazione di dati, documenti e informazioni ai sensi del citato decreto, l’adozione di atti o provvedimenti richiesti dalla normativa vigente ovvero la rimozione di comportamenti o atti contrastanti con i pian</w:t>
      </w:r>
      <w:r w:rsidR="009324D4" w:rsidRPr="00925180">
        <w:rPr>
          <w:rFonts w:ascii="Garamond" w:hAnsi="Garamond"/>
          <w:sz w:val="24"/>
          <w:szCs w:val="24"/>
        </w:rPr>
        <w:t>i e le regole sulla trasparenza. In alcuni casi tassativamente indicati dall’art. 47 del d.lgs. n. 33/2013, accanto a tali poteri generali sono previsti specifici poteri sanzionatori di carattere pecuniario o reputazionale (pubblicazione del provvedimento sul sito dell’amministrazione o dell’organismo interessato).</w:t>
      </w:r>
    </w:p>
    <w:p w14:paraId="0D3C777A" w14:textId="77777777" w:rsidR="00D06B56" w:rsidRPr="00925180" w:rsidRDefault="00D06B56" w:rsidP="00DF286D">
      <w:pPr>
        <w:spacing w:before="240" w:after="0"/>
        <w:jc w:val="both"/>
        <w:rPr>
          <w:rFonts w:ascii="Garamond" w:hAnsi="Garamond"/>
          <w:sz w:val="24"/>
          <w:szCs w:val="24"/>
        </w:rPr>
      </w:pPr>
      <w:r w:rsidRPr="00925180">
        <w:rPr>
          <w:rFonts w:ascii="Garamond" w:hAnsi="Garamond"/>
          <w:sz w:val="24"/>
          <w:szCs w:val="24"/>
        </w:rPr>
        <w:t>Con regolamento del 29 marzo 2017 l’Anac ha regolamentato l’esercizio dei predetti poteri, disciplinando il procedimento e attribuendo in capo all’Ufficio di vigilanza sugli obblighi di trasparenza (UVOT).</w:t>
      </w:r>
    </w:p>
    <w:p w14:paraId="43095340" w14:textId="77777777" w:rsidR="00EB7400" w:rsidRPr="00925180" w:rsidRDefault="009324D4" w:rsidP="0074007C">
      <w:pPr>
        <w:spacing w:before="240"/>
        <w:jc w:val="both"/>
        <w:rPr>
          <w:rFonts w:ascii="Garamond" w:hAnsi="Garamond"/>
          <w:sz w:val="24"/>
          <w:szCs w:val="24"/>
        </w:rPr>
      </w:pPr>
      <w:r w:rsidRPr="00925180">
        <w:rPr>
          <w:rFonts w:ascii="Garamond" w:hAnsi="Garamond"/>
          <w:sz w:val="24"/>
          <w:szCs w:val="24"/>
        </w:rPr>
        <w:t>Sugli obblighi sanzionatori dell’art. 47 ha inciso, di recente,</w:t>
      </w:r>
      <w:r w:rsidR="00EB7400" w:rsidRPr="00925180">
        <w:rPr>
          <w:rFonts w:ascii="Garamond" w:hAnsi="Garamond"/>
          <w:sz w:val="24"/>
          <w:szCs w:val="24"/>
        </w:rPr>
        <w:t xml:space="preserve"> dapprima il decreto legge 30 dicembre 2019, n. 162 (cd. decreto milleproroghe), convertito nella legge 28 febbraio 2020 n. 8, e successivamente la legge 27 dicembre 2019, n. 160 (legge di bilancio 2020). Il primo ha sospeso l’applicazione delle norme che prevedono responsabilità dirigenziale e sanzioni in capo ai dirigenti per i casi di mancata comunicazione e pubblicazione dei dati riferiti agli incarichi e alle situazioni patrimoniali degli stessi, e conseguentemente il potere sanzionatorio di ANAC (art. 1, commi da 7 a 7-</w:t>
      </w:r>
      <w:r w:rsidR="00EB7400" w:rsidRPr="00925180">
        <w:rPr>
          <w:rFonts w:ascii="Garamond" w:hAnsi="Garamond"/>
          <w:i/>
          <w:sz w:val="24"/>
          <w:szCs w:val="24"/>
        </w:rPr>
        <w:t>quater</w:t>
      </w:r>
      <w:r w:rsidR="00EB7400" w:rsidRPr="00925180">
        <w:rPr>
          <w:rFonts w:ascii="Garamond" w:hAnsi="Garamond"/>
          <w:sz w:val="24"/>
          <w:szCs w:val="24"/>
        </w:rPr>
        <w:t xml:space="preserve">, d.l. n. 162/2019). La sospensione, inizialmente prevista fino al 30 dicembre 2020 e poi (complice il Covid-19) estesa fino al 30 aprile 2021, era funzionale, nelle intenzioni del legislatore, a consentire l’emanazione di un nuovo regolamento governativo, ai sensi dell'articolo 17, comma 2, della legge 23 agosto 1988, n. 400, preordinato a individuare il regime definitivo di pubblicità, a seconda della diversa tipologia di incarichi </w:t>
      </w:r>
      <w:r w:rsidR="00EB7400" w:rsidRPr="00925180">
        <w:rPr>
          <w:rFonts w:ascii="Garamond" w:hAnsi="Garamond"/>
          <w:sz w:val="24"/>
          <w:szCs w:val="24"/>
        </w:rPr>
        <w:lastRenderedPageBreak/>
        <w:t>svolti. Oggi il termine è scaduto e resta vigente la sospensione del potere sanzionatorio di ANAC (mai revocata) ma, nel frattempo, il regolamento non è stato adottato</w:t>
      </w:r>
      <w:r w:rsidR="00EB7400" w:rsidRPr="00925180">
        <w:rPr>
          <w:rFonts w:ascii="Garamond" w:hAnsi="Garamond"/>
          <w:sz w:val="24"/>
          <w:szCs w:val="24"/>
          <w:vertAlign w:val="superscript"/>
        </w:rPr>
        <w:footnoteReference w:id="13"/>
      </w:r>
      <w:r w:rsidR="00EB7400" w:rsidRPr="00925180">
        <w:rPr>
          <w:rFonts w:ascii="Garamond" w:hAnsi="Garamond"/>
          <w:sz w:val="24"/>
          <w:szCs w:val="24"/>
        </w:rPr>
        <w:t xml:space="preserve">. </w:t>
      </w:r>
    </w:p>
    <w:p w14:paraId="08E5A04F" w14:textId="3C3AB037" w:rsidR="0074007C" w:rsidRPr="00925180" w:rsidRDefault="00EB7400" w:rsidP="00EB7400">
      <w:pPr>
        <w:spacing w:before="240"/>
        <w:jc w:val="both"/>
        <w:rPr>
          <w:rFonts w:ascii="Garamond" w:hAnsi="Garamond"/>
          <w:b/>
          <w:bCs/>
          <w:i/>
          <w:iCs/>
          <w:sz w:val="24"/>
          <w:szCs w:val="24"/>
        </w:rPr>
      </w:pPr>
      <w:r w:rsidRPr="00925180">
        <w:rPr>
          <w:rFonts w:ascii="Garamond" w:hAnsi="Garamond"/>
          <w:sz w:val="24"/>
          <w:szCs w:val="24"/>
        </w:rPr>
        <w:t>La</w:t>
      </w:r>
      <w:r w:rsidR="009324D4" w:rsidRPr="00925180">
        <w:rPr>
          <w:rFonts w:ascii="Garamond" w:hAnsi="Garamond"/>
          <w:sz w:val="24"/>
          <w:szCs w:val="24"/>
        </w:rPr>
        <w:t xml:space="preserve"> legge di bilancio 2020 (</w:t>
      </w:r>
      <w:r w:rsidRPr="00925180">
        <w:rPr>
          <w:rFonts w:ascii="Garamond" w:hAnsi="Garamond"/>
          <w:sz w:val="24"/>
          <w:szCs w:val="24"/>
        </w:rPr>
        <w:t xml:space="preserve">legge 27 dicembre 2019, n. 160), a sua volta, </w:t>
      </w:r>
      <w:r w:rsidR="00D06B56" w:rsidRPr="00925180">
        <w:rPr>
          <w:rFonts w:ascii="Garamond" w:hAnsi="Garamond"/>
          <w:sz w:val="24"/>
          <w:szCs w:val="24"/>
        </w:rPr>
        <w:t xml:space="preserve">ha introdotto nuove misure, quali </w:t>
      </w:r>
      <w:r w:rsidR="009324D4" w:rsidRPr="00925180">
        <w:rPr>
          <w:rFonts w:ascii="Garamond" w:hAnsi="Garamond"/>
          <w:sz w:val="24"/>
          <w:szCs w:val="24"/>
        </w:rPr>
        <w:t>la decurtazione dell’</w:t>
      </w:r>
      <w:r w:rsidR="00A9461D" w:rsidRPr="00925180">
        <w:rPr>
          <w:rFonts w:ascii="Garamond" w:hAnsi="Garamond"/>
          <w:sz w:val="24"/>
          <w:szCs w:val="24"/>
        </w:rPr>
        <w:t xml:space="preserve">indennità di risultato nel </w:t>
      </w:r>
      <w:r w:rsidR="00A9461D" w:rsidRPr="00925180">
        <w:rPr>
          <w:rFonts w:ascii="Garamond" w:hAnsi="Garamond"/>
          <w:bCs/>
          <w:iCs/>
          <w:sz w:val="24"/>
          <w:szCs w:val="24"/>
        </w:rPr>
        <w:t xml:space="preserve">caso del responsabile della mancata pubblicazione dei dati o della mancata comunicazione di determinati dati in caso di amministratori societari e, nel caso del responsabile della trasparenza, </w:t>
      </w:r>
      <w:r w:rsidR="00D06B56" w:rsidRPr="00925180">
        <w:rPr>
          <w:rFonts w:ascii="Garamond" w:hAnsi="Garamond"/>
          <w:bCs/>
          <w:iCs/>
          <w:sz w:val="24"/>
          <w:szCs w:val="24"/>
        </w:rPr>
        <w:t>l</w:t>
      </w:r>
      <w:r w:rsidR="00A9461D" w:rsidRPr="00925180">
        <w:rPr>
          <w:rFonts w:ascii="Garamond" w:hAnsi="Garamond"/>
          <w:bCs/>
          <w:iCs/>
          <w:sz w:val="24"/>
          <w:szCs w:val="24"/>
        </w:rPr>
        <w:t xml:space="preserve">a decurtazione dell’indennità accessoria </w:t>
      </w:r>
      <w:r w:rsidRPr="00925180">
        <w:rPr>
          <w:rFonts w:ascii="Garamond" w:hAnsi="Garamond"/>
          <w:bCs/>
          <w:iCs/>
          <w:sz w:val="24"/>
          <w:szCs w:val="24"/>
        </w:rPr>
        <w:t xml:space="preserve">percepita. </w:t>
      </w:r>
    </w:p>
    <w:p w14:paraId="5ADDAD32" w14:textId="5BC21099" w:rsidR="0074007C" w:rsidRPr="00925180" w:rsidRDefault="0074007C" w:rsidP="00A9461D">
      <w:pPr>
        <w:spacing w:before="240"/>
        <w:jc w:val="both"/>
        <w:rPr>
          <w:rFonts w:ascii="Garamond" w:hAnsi="Garamond"/>
          <w:bCs/>
          <w:iCs/>
          <w:sz w:val="24"/>
          <w:szCs w:val="24"/>
        </w:rPr>
      </w:pPr>
      <w:r w:rsidRPr="00925180">
        <w:rPr>
          <w:rFonts w:ascii="Garamond" w:hAnsi="Garamond"/>
          <w:bCs/>
          <w:iCs/>
          <w:sz w:val="24"/>
          <w:szCs w:val="24"/>
        </w:rPr>
        <w:t xml:space="preserve">Tali sanzioni, in assenza di una regolamentazione di secondo livello che possa regolare in via generale il meccanismo di computo conferendo determinatezza ad una previsione che ne è priva, </w:t>
      </w:r>
      <w:r w:rsidR="00EB7400" w:rsidRPr="00925180">
        <w:rPr>
          <w:rFonts w:ascii="Garamond" w:hAnsi="Garamond"/>
          <w:bCs/>
          <w:iCs/>
          <w:sz w:val="24"/>
          <w:szCs w:val="24"/>
        </w:rPr>
        <w:t>presentano profili di indeterminatezza e, allo stato, sono di fatto inattuate</w:t>
      </w:r>
      <w:r w:rsidRPr="00925180">
        <w:rPr>
          <w:rFonts w:ascii="Garamond" w:hAnsi="Garamond"/>
          <w:bCs/>
          <w:iCs/>
          <w:sz w:val="24"/>
          <w:szCs w:val="24"/>
          <w:vertAlign w:val="superscript"/>
        </w:rPr>
        <w:footnoteReference w:id="14"/>
      </w:r>
      <w:r w:rsidRPr="00925180">
        <w:rPr>
          <w:rFonts w:ascii="Garamond" w:hAnsi="Garamond"/>
          <w:bCs/>
          <w:iCs/>
          <w:sz w:val="24"/>
          <w:szCs w:val="24"/>
        </w:rPr>
        <w:t>.</w:t>
      </w:r>
    </w:p>
    <w:p w14:paraId="6033DF95" w14:textId="77777777" w:rsidR="00801584" w:rsidRDefault="00801584" w:rsidP="00801584">
      <w:pPr>
        <w:jc w:val="both"/>
        <w:rPr>
          <w:rFonts w:ascii="Garamond" w:hAnsi="Garamond"/>
          <w:b/>
          <w:sz w:val="24"/>
          <w:szCs w:val="24"/>
        </w:rPr>
      </w:pPr>
      <w:r w:rsidRPr="00CC08AD">
        <w:rPr>
          <w:rFonts w:ascii="Garamond" w:hAnsi="Garamond"/>
          <w:b/>
          <w:sz w:val="24"/>
          <w:szCs w:val="24"/>
        </w:rPr>
        <w:t xml:space="preserve">4. </w:t>
      </w:r>
      <w:r w:rsidR="00996703" w:rsidRPr="00CC08AD">
        <w:rPr>
          <w:rFonts w:ascii="Garamond" w:hAnsi="Garamond"/>
          <w:b/>
          <w:sz w:val="24"/>
          <w:szCs w:val="24"/>
        </w:rPr>
        <w:t xml:space="preserve">(segue) </w:t>
      </w:r>
      <w:r w:rsidRPr="00CC08AD">
        <w:rPr>
          <w:rFonts w:ascii="Garamond" w:hAnsi="Garamond"/>
          <w:b/>
          <w:sz w:val="24"/>
          <w:szCs w:val="24"/>
        </w:rPr>
        <w:t>Gli appalti pubblici tra regolazione e vigilanza</w:t>
      </w:r>
    </w:p>
    <w:p w14:paraId="0CCF1AA1" w14:textId="00BED891" w:rsidR="00B93656" w:rsidRDefault="00B93656" w:rsidP="00B93656">
      <w:pPr>
        <w:jc w:val="both"/>
        <w:rPr>
          <w:rFonts w:ascii="Garamond" w:hAnsi="Garamond"/>
          <w:sz w:val="24"/>
          <w:szCs w:val="24"/>
        </w:rPr>
      </w:pPr>
      <w:r>
        <w:rPr>
          <w:rFonts w:ascii="Garamond" w:hAnsi="Garamond"/>
          <w:sz w:val="24"/>
          <w:szCs w:val="24"/>
        </w:rPr>
        <w:t xml:space="preserve">Come si è detto, un </w:t>
      </w:r>
      <w:r w:rsidR="00291302">
        <w:rPr>
          <w:rFonts w:ascii="Garamond" w:hAnsi="Garamond"/>
          <w:sz w:val="24"/>
          <w:szCs w:val="24"/>
        </w:rPr>
        <w:t>settore</w:t>
      </w:r>
      <w:r>
        <w:rPr>
          <w:rFonts w:ascii="Garamond" w:hAnsi="Garamond"/>
          <w:sz w:val="24"/>
          <w:szCs w:val="24"/>
        </w:rPr>
        <w:t xml:space="preserve"> in cui i poteri dell’Anac sono particolarmente incisivi è quello dei contratti pubblici, essendo demandat</w:t>
      </w:r>
      <w:r w:rsidR="002B5BB7">
        <w:rPr>
          <w:rFonts w:ascii="Garamond" w:hAnsi="Garamond"/>
          <w:sz w:val="24"/>
          <w:szCs w:val="24"/>
        </w:rPr>
        <w:t>e</w:t>
      </w:r>
      <w:r>
        <w:rPr>
          <w:rFonts w:ascii="Garamond" w:hAnsi="Garamond"/>
          <w:sz w:val="24"/>
          <w:szCs w:val="24"/>
        </w:rPr>
        <w:t xml:space="preserve"> all’Autorità </w:t>
      </w:r>
      <w:r w:rsidR="00DB5289">
        <w:rPr>
          <w:rFonts w:ascii="Garamond" w:hAnsi="Garamond"/>
          <w:sz w:val="24"/>
          <w:szCs w:val="24"/>
        </w:rPr>
        <w:t xml:space="preserve">le funzioni di </w:t>
      </w:r>
      <w:r w:rsidR="00FC3C03" w:rsidRPr="00DB5289">
        <w:rPr>
          <w:rFonts w:ascii="Garamond" w:hAnsi="Garamond"/>
          <w:sz w:val="24"/>
          <w:szCs w:val="24"/>
        </w:rPr>
        <w:t>vigilanza e controllo</w:t>
      </w:r>
      <w:r w:rsidR="00FC3C03">
        <w:rPr>
          <w:rFonts w:ascii="Garamond" w:hAnsi="Garamond"/>
          <w:i/>
          <w:iCs/>
          <w:sz w:val="24"/>
          <w:szCs w:val="24"/>
        </w:rPr>
        <w:t xml:space="preserve"> </w:t>
      </w:r>
      <w:r w:rsidR="00DB5289">
        <w:rPr>
          <w:rFonts w:ascii="Garamond" w:hAnsi="Garamond"/>
          <w:sz w:val="24"/>
          <w:szCs w:val="24"/>
        </w:rPr>
        <w:t>“</w:t>
      </w:r>
      <w:r w:rsidR="00DB5289" w:rsidRPr="00DB5289">
        <w:rPr>
          <w:rFonts w:ascii="Garamond" w:hAnsi="Garamond"/>
          <w:i/>
          <w:iCs/>
          <w:sz w:val="24"/>
          <w:szCs w:val="24"/>
        </w:rPr>
        <w:t>anche al fine di</w:t>
      </w:r>
      <w:r w:rsidR="00DB5289">
        <w:rPr>
          <w:rFonts w:ascii="Garamond" w:hAnsi="Garamond"/>
          <w:sz w:val="24"/>
          <w:szCs w:val="24"/>
        </w:rPr>
        <w:t xml:space="preserve"> </w:t>
      </w:r>
      <w:r w:rsidRPr="005320BD">
        <w:rPr>
          <w:rFonts w:ascii="Garamond" w:hAnsi="Garamond"/>
          <w:i/>
          <w:sz w:val="24"/>
          <w:szCs w:val="24"/>
        </w:rPr>
        <w:t>prevenire e contrastare illegalità e corruzione</w:t>
      </w:r>
      <w:r>
        <w:rPr>
          <w:rFonts w:ascii="Garamond" w:hAnsi="Garamond"/>
          <w:sz w:val="24"/>
          <w:szCs w:val="24"/>
        </w:rPr>
        <w:t>” (art. 2</w:t>
      </w:r>
      <w:r w:rsidR="00FC3C03">
        <w:rPr>
          <w:rFonts w:ascii="Garamond" w:hAnsi="Garamond"/>
          <w:sz w:val="24"/>
          <w:szCs w:val="24"/>
        </w:rPr>
        <w:t>22</w:t>
      </w:r>
      <w:r>
        <w:rPr>
          <w:rFonts w:ascii="Garamond" w:hAnsi="Garamond"/>
          <w:sz w:val="24"/>
          <w:szCs w:val="24"/>
        </w:rPr>
        <w:t xml:space="preserve">, comma 1, d.lgs. n. </w:t>
      </w:r>
      <w:r w:rsidR="00FC3C03">
        <w:rPr>
          <w:rFonts w:ascii="Garamond" w:hAnsi="Garamond"/>
          <w:sz w:val="24"/>
          <w:szCs w:val="24"/>
        </w:rPr>
        <w:t>36</w:t>
      </w:r>
      <w:r>
        <w:rPr>
          <w:rFonts w:ascii="Garamond" w:hAnsi="Garamond"/>
          <w:sz w:val="24"/>
          <w:szCs w:val="24"/>
        </w:rPr>
        <w:t>/20</w:t>
      </w:r>
      <w:r w:rsidR="00FC3C03">
        <w:rPr>
          <w:rFonts w:ascii="Garamond" w:hAnsi="Garamond"/>
          <w:sz w:val="24"/>
          <w:szCs w:val="24"/>
        </w:rPr>
        <w:t>2</w:t>
      </w:r>
      <w:r w:rsidR="006B3026">
        <w:rPr>
          <w:rFonts w:ascii="Garamond" w:hAnsi="Garamond"/>
          <w:sz w:val="24"/>
          <w:szCs w:val="24"/>
        </w:rPr>
        <w:t>3</w:t>
      </w:r>
      <w:r>
        <w:rPr>
          <w:rFonts w:ascii="Garamond" w:hAnsi="Garamond"/>
          <w:sz w:val="24"/>
          <w:szCs w:val="24"/>
        </w:rPr>
        <w:t>)</w:t>
      </w:r>
      <w:r>
        <w:rPr>
          <w:rStyle w:val="Rimandonotaapidipagina"/>
          <w:rFonts w:ascii="Garamond" w:hAnsi="Garamond"/>
          <w:sz w:val="24"/>
          <w:szCs w:val="24"/>
        </w:rPr>
        <w:footnoteReference w:id="15"/>
      </w:r>
      <w:r>
        <w:rPr>
          <w:rFonts w:ascii="Garamond" w:hAnsi="Garamond"/>
          <w:sz w:val="24"/>
          <w:szCs w:val="24"/>
        </w:rPr>
        <w:t>.</w:t>
      </w:r>
    </w:p>
    <w:p w14:paraId="486FF4E3" w14:textId="78374170" w:rsidR="00B93656" w:rsidRDefault="00B93656" w:rsidP="00B93656">
      <w:pPr>
        <w:jc w:val="both"/>
        <w:rPr>
          <w:rFonts w:ascii="Garamond" w:hAnsi="Garamond"/>
          <w:sz w:val="24"/>
          <w:szCs w:val="24"/>
        </w:rPr>
      </w:pPr>
      <w:r>
        <w:rPr>
          <w:rFonts w:ascii="Garamond" w:hAnsi="Garamond"/>
          <w:sz w:val="24"/>
          <w:szCs w:val="24"/>
        </w:rPr>
        <w:t>Nel campo dei contratti pubblici vengono esercitate sostanzialmente tutte le funzioni di cui è titolare l’Anac di cui si è trattato al par. 2, e cioè di indirizzo e regolazione, di vigilanza e controllo, di segnalazione e sanzionatoria.</w:t>
      </w:r>
    </w:p>
    <w:p w14:paraId="0A12830F" w14:textId="73372EF1" w:rsidR="00B93656" w:rsidRDefault="00B93656" w:rsidP="00B93656">
      <w:pPr>
        <w:jc w:val="both"/>
        <w:rPr>
          <w:rFonts w:ascii="Garamond" w:hAnsi="Garamond"/>
          <w:sz w:val="24"/>
          <w:szCs w:val="24"/>
        </w:rPr>
      </w:pPr>
      <w:r>
        <w:rPr>
          <w:rFonts w:ascii="Garamond" w:hAnsi="Garamond"/>
          <w:sz w:val="24"/>
          <w:szCs w:val="24"/>
        </w:rPr>
        <w:t xml:space="preserve">L’attività di indirizzo e regolazione è svolta attraverso l’elaborazione di </w:t>
      </w:r>
      <w:r w:rsidRPr="00980DC1">
        <w:rPr>
          <w:rFonts w:ascii="Garamond" w:hAnsi="Garamond"/>
          <w:sz w:val="24"/>
          <w:szCs w:val="24"/>
        </w:rPr>
        <w:t xml:space="preserve">linee guida, bandi-tipo, capitolati-tipo, contratti-tipo ed altri strumenti di regolazione </w:t>
      </w:r>
      <w:r>
        <w:rPr>
          <w:rFonts w:ascii="Garamond" w:hAnsi="Garamond"/>
          <w:sz w:val="24"/>
          <w:szCs w:val="24"/>
        </w:rPr>
        <w:t>con cui orientare l’attività di stazioni appaltanti e operatori economici.</w:t>
      </w:r>
    </w:p>
    <w:p w14:paraId="544037C4" w14:textId="2B1FF2E2" w:rsidR="00B93656" w:rsidRPr="00980DC1" w:rsidRDefault="00B93656" w:rsidP="00B93656">
      <w:pPr>
        <w:jc w:val="both"/>
        <w:rPr>
          <w:rFonts w:ascii="Garamond" w:hAnsi="Garamond"/>
          <w:sz w:val="24"/>
          <w:szCs w:val="24"/>
        </w:rPr>
      </w:pPr>
      <w:r>
        <w:rPr>
          <w:rFonts w:ascii="Garamond" w:hAnsi="Garamond"/>
          <w:sz w:val="24"/>
          <w:szCs w:val="24"/>
        </w:rPr>
        <w:t>Particolarmente importante è anche la funzione di vigilanza che l’Autorità svolge “</w:t>
      </w:r>
      <w:r w:rsidRPr="00B93656">
        <w:rPr>
          <w:rFonts w:ascii="Garamond" w:hAnsi="Garamond"/>
          <w:i/>
          <w:sz w:val="24"/>
          <w:szCs w:val="24"/>
        </w:rPr>
        <w:t>sui contratti pubblici, anche di interesse regionale, di lavori, servizi e forniture nei settori ordinari e nei settori speciali e sui contratti secretati o che esigono particolari misure di sicurezza … nonché sui contratti esclusi dall'ambito di applicazione del codice</w:t>
      </w:r>
      <w:r>
        <w:rPr>
          <w:rFonts w:ascii="Garamond" w:hAnsi="Garamond"/>
          <w:sz w:val="24"/>
          <w:szCs w:val="24"/>
        </w:rPr>
        <w:t xml:space="preserve">” (art. </w:t>
      </w:r>
      <w:r w:rsidR="006B3026">
        <w:rPr>
          <w:rFonts w:ascii="Garamond" w:hAnsi="Garamond"/>
          <w:sz w:val="24"/>
          <w:szCs w:val="24"/>
        </w:rPr>
        <w:t>222</w:t>
      </w:r>
      <w:r>
        <w:rPr>
          <w:rFonts w:ascii="Garamond" w:hAnsi="Garamond"/>
          <w:sz w:val="24"/>
          <w:szCs w:val="24"/>
        </w:rPr>
        <w:t>, comma 3, lett. a).</w:t>
      </w:r>
      <w:r w:rsidR="00AB62E3">
        <w:rPr>
          <w:rFonts w:ascii="Garamond" w:hAnsi="Garamond"/>
          <w:sz w:val="24"/>
          <w:szCs w:val="24"/>
        </w:rPr>
        <w:t xml:space="preserve"> La vigilanza non </w:t>
      </w:r>
      <w:r w:rsidR="009A6B0E">
        <w:rPr>
          <w:rFonts w:ascii="Garamond" w:hAnsi="Garamond"/>
          <w:sz w:val="24"/>
          <w:szCs w:val="24"/>
        </w:rPr>
        <w:t xml:space="preserve">è limitata alla fase </w:t>
      </w:r>
      <w:r w:rsidR="00F83537">
        <w:rPr>
          <w:rFonts w:ascii="Garamond" w:hAnsi="Garamond"/>
          <w:sz w:val="24"/>
          <w:szCs w:val="24"/>
        </w:rPr>
        <w:t xml:space="preserve">dell’affidamento </w:t>
      </w:r>
      <w:r w:rsidR="009A6B0E">
        <w:rPr>
          <w:rFonts w:ascii="Garamond" w:hAnsi="Garamond"/>
          <w:sz w:val="24"/>
          <w:szCs w:val="24"/>
        </w:rPr>
        <w:t>ma estesa alla “</w:t>
      </w:r>
      <w:r w:rsidR="009A6B0E">
        <w:rPr>
          <w:rFonts w:ascii="Garamond" w:hAnsi="Garamond"/>
          <w:i/>
          <w:iCs/>
          <w:sz w:val="24"/>
          <w:szCs w:val="24"/>
        </w:rPr>
        <w:t>corretta esecuzione dei contratti pubblici</w:t>
      </w:r>
      <w:r w:rsidR="009A6B0E">
        <w:rPr>
          <w:rFonts w:ascii="Garamond" w:hAnsi="Garamond"/>
          <w:sz w:val="24"/>
          <w:szCs w:val="24"/>
        </w:rPr>
        <w:t>” (art, 222, comma 3, lett. b).</w:t>
      </w:r>
      <w:r w:rsidR="002B5BB7">
        <w:rPr>
          <w:rFonts w:ascii="Garamond" w:hAnsi="Garamond"/>
          <w:sz w:val="24"/>
          <w:szCs w:val="24"/>
        </w:rPr>
        <w:t xml:space="preserve"> </w:t>
      </w:r>
      <w:r w:rsidR="00F81095">
        <w:rPr>
          <w:rFonts w:ascii="Garamond" w:hAnsi="Garamond"/>
          <w:sz w:val="24"/>
          <w:szCs w:val="24"/>
        </w:rPr>
        <w:t xml:space="preserve">In quest’ambito, di </w:t>
      </w:r>
      <w:r>
        <w:rPr>
          <w:rFonts w:ascii="Garamond" w:hAnsi="Garamond"/>
          <w:sz w:val="24"/>
          <w:szCs w:val="24"/>
        </w:rPr>
        <w:t xml:space="preserve">sicuro interesse è la previsione per cui, </w:t>
      </w:r>
      <w:r w:rsidRPr="00980DC1">
        <w:rPr>
          <w:rFonts w:ascii="Garamond" w:hAnsi="Garamond"/>
          <w:sz w:val="24"/>
          <w:szCs w:val="24"/>
        </w:rPr>
        <w:t xml:space="preserve">per </w:t>
      </w:r>
      <w:r>
        <w:rPr>
          <w:rFonts w:ascii="Garamond" w:hAnsi="Garamond"/>
          <w:sz w:val="24"/>
          <w:szCs w:val="24"/>
        </w:rPr>
        <w:t xml:space="preserve">gli </w:t>
      </w:r>
      <w:r w:rsidRPr="00980DC1">
        <w:rPr>
          <w:rFonts w:ascii="Garamond" w:hAnsi="Garamond"/>
          <w:sz w:val="24"/>
          <w:szCs w:val="24"/>
        </w:rPr>
        <w:t>affidamenti di particolare interesse,</w:t>
      </w:r>
      <w:r>
        <w:rPr>
          <w:rFonts w:ascii="Garamond" w:hAnsi="Garamond"/>
          <w:sz w:val="24"/>
          <w:szCs w:val="24"/>
        </w:rPr>
        <w:t xml:space="preserve"> l’Autorità può svolgere una forma di </w:t>
      </w:r>
      <w:r w:rsidRPr="00980DC1">
        <w:rPr>
          <w:rFonts w:ascii="Garamond" w:hAnsi="Garamond"/>
          <w:sz w:val="24"/>
          <w:szCs w:val="24"/>
        </w:rPr>
        <w:t xml:space="preserve">vigilanza collaborativa </w:t>
      </w:r>
      <w:r>
        <w:rPr>
          <w:rFonts w:ascii="Garamond" w:hAnsi="Garamond"/>
          <w:sz w:val="24"/>
          <w:szCs w:val="24"/>
        </w:rPr>
        <w:t xml:space="preserve">che viene </w:t>
      </w:r>
      <w:r w:rsidRPr="00980DC1">
        <w:rPr>
          <w:rFonts w:ascii="Garamond" w:hAnsi="Garamond"/>
          <w:sz w:val="24"/>
          <w:szCs w:val="24"/>
        </w:rPr>
        <w:t>attuata previa stipula di protocolli di intesa con le stazioni appaltanti richiedenti</w:t>
      </w:r>
      <w:r>
        <w:rPr>
          <w:rFonts w:ascii="Garamond" w:hAnsi="Garamond"/>
          <w:sz w:val="24"/>
          <w:szCs w:val="24"/>
        </w:rPr>
        <w:t xml:space="preserve">, allo scopo di </w:t>
      </w:r>
      <w:r w:rsidRPr="00980DC1">
        <w:rPr>
          <w:rFonts w:ascii="Garamond" w:hAnsi="Garamond"/>
          <w:sz w:val="24"/>
          <w:szCs w:val="24"/>
        </w:rPr>
        <w:t>supportar</w:t>
      </w:r>
      <w:r>
        <w:rPr>
          <w:rFonts w:ascii="Garamond" w:hAnsi="Garamond"/>
          <w:sz w:val="24"/>
          <w:szCs w:val="24"/>
        </w:rPr>
        <w:t>l</w:t>
      </w:r>
      <w:r w:rsidRPr="00980DC1">
        <w:rPr>
          <w:rFonts w:ascii="Garamond" w:hAnsi="Garamond"/>
          <w:sz w:val="24"/>
          <w:szCs w:val="24"/>
        </w:rPr>
        <w:t>e</w:t>
      </w:r>
      <w:r>
        <w:rPr>
          <w:rFonts w:ascii="Garamond" w:hAnsi="Garamond"/>
          <w:sz w:val="24"/>
          <w:szCs w:val="24"/>
        </w:rPr>
        <w:t xml:space="preserve"> </w:t>
      </w:r>
      <w:r w:rsidRPr="00980DC1">
        <w:rPr>
          <w:rFonts w:ascii="Garamond" w:hAnsi="Garamond"/>
          <w:sz w:val="24"/>
          <w:szCs w:val="24"/>
        </w:rPr>
        <w:t xml:space="preserve">nella </w:t>
      </w:r>
      <w:r w:rsidR="00932C0A">
        <w:rPr>
          <w:rFonts w:ascii="Garamond" w:hAnsi="Garamond"/>
          <w:sz w:val="24"/>
          <w:szCs w:val="24"/>
        </w:rPr>
        <w:t xml:space="preserve">fase della </w:t>
      </w:r>
      <w:r>
        <w:rPr>
          <w:rFonts w:ascii="Garamond" w:hAnsi="Garamond"/>
          <w:sz w:val="24"/>
          <w:szCs w:val="24"/>
        </w:rPr>
        <w:t>gara</w:t>
      </w:r>
      <w:r w:rsidR="00932C0A">
        <w:rPr>
          <w:rFonts w:ascii="Garamond" w:hAnsi="Garamond"/>
          <w:sz w:val="24"/>
          <w:szCs w:val="24"/>
        </w:rPr>
        <w:t xml:space="preserve"> e in quella dell’esecuzione.</w:t>
      </w:r>
    </w:p>
    <w:p w14:paraId="59A73037" w14:textId="2A8044D1" w:rsidR="00B93656" w:rsidRPr="00980DC1" w:rsidRDefault="00F81095" w:rsidP="00B93656">
      <w:pPr>
        <w:jc w:val="both"/>
        <w:rPr>
          <w:rFonts w:ascii="Garamond" w:hAnsi="Garamond"/>
          <w:sz w:val="24"/>
          <w:szCs w:val="24"/>
        </w:rPr>
      </w:pPr>
      <w:r>
        <w:rPr>
          <w:rFonts w:ascii="Garamond" w:hAnsi="Garamond"/>
          <w:sz w:val="24"/>
          <w:szCs w:val="24"/>
        </w:rPr>
        <w:t xml:space="preserve">Molto </w:t>
      </w:r>
      <w:r w:rsidR="00B93656">
        <w:rPr>
          <w:rFonts w:ascii="Garamond" w:hAnsi="Garamond"/>
          <w:sz w:val="24"/>
          <w:szCs w:val="24"/>
        </w:rPr>
        <w:t>rilevante è anche l’attività di segnalazione</w:t>
      </w:r>
      <w:r w:rsidR="00511BCE">
        <w:rPr>
          <w:rFonts w:ascii="Garamond" w:hAnsi="Garamond"/>
          <w:sz w:val="24"/>
          <w:szCs w:val="24"/>
        </w:rPr>
        <w:t>: l</w:t>
      </w:r>
      <w:r w:rsidR="00B93656">
        <w:rPr>
          <w:rFonts w:ascii="Garamond" w:hAnsi="Garamond"/>
          <w:sz w:val="24"/>
          <w:szCs w:val="24"/>
        </w:rPr>
        <w:t xml:space="preserve">’Autorità rende conto della propria attività trasmettendo </w:t>
      </w:r>
      <w:r w:rsidR="00B93656" w:rsidRPr="00980DC1">
        <w:rPr>
          <w:rFonts w:ascii="Garamond" w:hAnsi="Garamond"/>
          <w:sz w:val="24"/>
          <w:szCs w:val="24"/>
        </w:rPr>
        <w:t>al</w:t>
      </w:r>
      <w:r w:rsidR="00F05A93">
        <w:rPr>
          <w:rFonts w:ascii="Garamond" w:hAnsi="Garamond"/>
          <w:sz w:val="24"/>
          <w:szCs w:val="24"/>
        </w:rPr>
        <w:t xml:space="preserve"> Governo e al Parlamento </w:t>
      </w:r>
      <w:r w:rsidR="00B93656">
        <w:rPr>
          <w:rFonts w:ascii="Garamond" w:hAnsi="Garamond"/>
          <w:sz w:val="24"/>
          <w:szCs w:val="24"/>
        </w:rPr>
        <w:t>la tradizionale relazione annuale</w:t>
      </w:r>
      <w:r w:rsidR="00511BCE">
        <w:rPr>
          <w:rFonts w:ascii="Garamond" w:hAnsi="Garamond"/>
          <w:sz w:val="24"/>
          <w:szCs w:val="24"/>
        </w:rPr>
        <w:t xml:space="preserve">, segnala loro </w:t>
      </w:r>
      <w:r w:rsidR="00B93656">
        <w:rPr>
          <w:rFonts w:ascii="Garamond" w:hAnsi="Garamond"/>
          <w:sz w:val="24"/>
          <w:szCs w:val="24"/>
        </w:rPr>
        <w:t xml:space="preserve">i </w:t>
      </w:r>
      <w:r w:rsidR="00B93656" w:rsidRPr="00980DC1">
        <w:rPr>
          <w:rFonts w:ascii="Garamond" w:hAnsi="Garamond"/>
          <w:sz w:val="24"/>
          <w:szCs w:val="24"/>
        </w:rPr>
        <w:t>fenomeni particolarmente gravi di inosservanza o di applicazione dist</w:t>
      </w:r>
      <w:r w:rsidR="00B93656">
        <w:rPr>
          <w:rFonts w:ascii="Garamond" w:hAnsi="Garamond"/>
          <w:sz w:val="24"/>
          <w:szCs w:val="24"/>
        </w:rPr>
        <w:t>orta della normativa di settore</w:t>
      </w:r>
      <w:r w:rsidR="00511BCE">
        <w:rPr>
          <w:rFonts w:ascii="Garamond" w:hAnsi="Garamond"/>
          <w:sz w:val="24"/>
          <w:szCs w:val="24"/>
        </w:rPr>
        <w:t xml:space="preserve"> e </w:t>
      </w:r>
      <w:r w:rsidR="00B93656">
        <w:rPr>
          <w:rFonts w:ascii="Garamond" w:hAnsi="Garamond"/>
          <w:sz w:val="24"/>
          <w:szCs w:val="24"/>
        </w:rPr>
        <w:t>le disfunzioni rilevate</w:t>
      </w:r>
      <w:r w:rsidR="00936400">
        <w:rPr>
          <w:rFonts w:ascii="Garamond" w:hAnsi="Garamond"/>
          <w:sz w:val="24"/>
          <w:szCs w:val="24"/>
        </w:rPr>
        <w:t xml:space="preserve"> (</w:t>
      </w:r>
      <w:r w:rsidR="00936400" w:rsidRPr="00936400">
        <w:rPr>
          <w:rFonts w:ascii="Garamond" w:hAnsi="Garamond"/>
          <w:sz w:val="24"/>
          <w:szCs w:val="24"/>
        </w:rPr>
        <w:t xml:space="preserve">che, se </w:t>
      </w:r>
      <w:r w:rsidR="00936400" w:rsidRPr="00936400">
        <w:rPr>
          <w:rFonts w:ascii="Garamond" w:hAnsi="Garamond"/>
          <w:sz w:val="24"/>
          <w:szCs w:val="24"/>
        </w:rPr>
        <w:lastRenderedPageBreak/>
        <w:t>di competenza, devono essere comunicate anche alla Procura della Repubblica o della Corte dei conti</w:t>
      </w:r>
      <w:r w:rsidR="00936400">
        <w:rPr>
          <w:rFonts w:ascii="Garamond" w:hAnsi="Garamond"/>
          <w:sz w:val="24"/>
          <w:szCs w:val="24"/>
        </w:rPr>
        <w:t>)</w:t>
      </w:r>
      <w:r w:rsidR="00516D7D">
        <w:rPr>
          <w:rFonts w:ascii="Garamond" w:hAnsi="Garamond"/>
          <w:sz w:val="24"/>
          <w:szCs w:val="24"/>
        </w:rPr>
        <w:t xml:space="preserve"> e, infine,</w:t>
      </w:r>
      <w:r w:rsidR="00511BCE">
        <w:rPr>
          <w:rFonts w:ascii="Garamond" w:hAnsi="Garamond"/>
          <w:sz w:val="24"/>
          <w:szCs w:val="24"/>
        </w:rPr>
        <w:t xml:space="preserve"> </w:t>
      </w:r>
      <w:r w:rsidR="00B93656" w:rsidRPr="00980DC1">
        <w:rPr>
          <w:rFonts w:ascii="Garamond" w:hAnsi="Garamond"/>
          <w:sz w:val="24"/>
          <w:szCs w:val="24"/>
        </w:rPr>
        <w:t>formul</w:t>
      </w:r>
      <w:r w:rsidR="00511BCE">
        <w:rPr>
          <w:rFonts w:ascii="Garamond" w:hAnsi="Garamond"/>
          <w:sz w:val="24"/>
          <w:szCs w:val="24"/>
        </w:rPr>
        <w:t>a</w:t>
      </w:r>
      <w:r w:rsidR="00B93656" w:rsidRPr="00980DC1">
        <w:rPr>
          <w:rFonts w:ascii="Garamond" w:hAnsi="Garamond"/>
          <w:sz w:val="24"/>
          <w:szCs w:val="24"/>
        </w:rPr>
        <w:t xml:space="preserve"> </w:t>
      </w:r>
      <w:r w:rsidR="00516D7D">
        <w:rPr>
          <w:rFonts w:ascii="Garamond" w:hAnsi="Garamond"/>
          <w:sz w:val="24"/>
          <w:szCs w:val="24"/>
        </w:rPr>
        <w:t xml:space="preserve">al Governo </w:t>
      </w:r>
      <w:r w:rsidR="00B93656" w:rsidRPr="00980DC1">
        <w:rPr>
          <w:rFonts w:ascii="Garamond" w:hAnsi="Garamond"/>
          <w:sz w:val="24"/>
          <w:szCs w:val="24"/>
        </w:rPr>
        <w:t xml:space="preserve">proposte </w:t>
      </w:r>
      <w:r w:rsidR="00B93656">
        <w:rPr>
          <w:rFonts w:ascii="Garamond" w:hAnsi="Garamond"/>
          <w:sz w:val="24"/>
          <w:szCs w:val="24"/>
        </w:rPr>
        <w:t xml:space="preserve">di </w:t>
      </w:r>
      <w:r w:rsidR="00B93656" w:rsidRPr="00980DC1">
        <w:rPr>
          <w:rFonts w:ascii="Garamond" w:hAnsi="Garamond"/>
          <w:sz w:val="24"/>
          <w:szCs w:val="24"/>
        </w:rPr>
        <w:t xml:space="preserve">modifiche </w:t>
      </w:r>
      <w:r w:rsidR="00B93656">
        <w:rPr>
          <w:rFonts w:ascii="Garamond" w:hAnsi="Garamond"/>
          <w:sz w:val="24"/>
          <w:szCs w:val="24"/>
        </w:rPr>
        <w:t>normative.</w:t>
      </w:r>
    </w:p>
    <w:p w14:paraId="35591BF2" w14:textId="08C5C9E9" w:rsidR="00B93656" w:rsidRDefault="00B93656" w:rsidP="00B93656">
      <w:pPr>
        <w:jc w:val="both"/>
        <w:rPr>
          <w:rFonts w:ascii="Garamond" w:hAnsi="Garamond"/>
          <w:sz w:val="24"/>
          <w:szCs w:val="24"/>
        </w:rPr>
      </w:pPr>
      <w:r>
        <w:rPr>
          <w:rFonts w:ascii="Garamond" w:hAnsi="Garamond"/>
          <w:sz w:val="24"/>
          <w:szCs w:val="24"/>
        </w:rPr>
        <w:t>Sicuramente più incisiva è l’attività sanzionatoria.</w:t>
      </w:r>
      <w:r w:rsidR="00516D7D">
        <w:rPr>
          <w:rFonts w:ascii="Garamond" w:hAnsi="Garamond"/>
          <w:sz w:val="24"/>
          <w:szCs w:val="24"/>
        </w:rPr>
        <w:t xml:space="preserve"> </w:t>
      </w:r>
      <w:r>
        <w:rPr>
          <w:rFonts w:ascii="Garamond" w:hAnsi="Garamond"/>
          <w:sz w:val="24"/>
          <w:szCs w:val="24"/>
        </w:rPr>
        <w:t>Da un lato sono previsti poteri sanzionatori di carattere generale, ad esempio nei confronti de</w:t>
      </w:r>
      <w:r w:rsidRPr="00980DC1">
        <w:rPr>
          <w:rFonts w:ascii="Garamond" w:hAnsi="Garamond"/>
          <w:sz w:val="24"/>
          <w:szCs w:val="24"/>
        </w:rPr>
        <w:t xml:space="preserve">i soggetti che rifiutano od omettono senza giustificato motivo di fornire le informazioni o di esibire i documenti richiesti dalla stessa e nei confronti degli operatori economici che non ottemperano alla richiesta della stazione appaltante di comprovare il possesso dei </w:t>
      </w:r>
      <w:r>
        <w:rPr>
          <w:rFonts w:ascii="Garamond" w:hAnsi="Garamond"/>
          <w:sz w:val="24"/>
          <w:szCs w:val="24"/>
        </w:rPr>
        <w:t xml:space="preserve">requisiti di partecipazione con sanzioni che possono arrivare sino a 5.000 euro o a </w:t>
      </w:r>
      <w:r w:rsidR="00911B32">
        <w:rPr>
          <w:rFonts w:ascii="Garamond" w:hAnsi="Garamond"/>
          <w:sz w:val="24"/>
          <w:szCs w:val="24"/>
        </w:rPr>
        <w:t>1</w:t>
      </w:r>
      <w:r>
        <w:rPr>
          <w:rFonts w:ascii="Garamond" w:hAnsi="Garamond"/>
          <w:sz w:val="24"/>
          <w:szCs w:val="24"/>
        </w:rPr>
        <w:t>0.000 euro per chi fornisca informazioni o documenti non veritieri (art. 2</w:t>
      </w:r>
      <w:r w:rsidR="00911B32">
        <w:rPr>
          <w:rFonts w:ascii="Garamond" w:hAnsi="Garamond"/>
          <w:sz w:val="24"/>
          <w:szCs w:val="24"/>
        </w:rPr>
        <w:t>22</w:t>
      </w:r>
      <w:r>
        <w:rPr>
          <w:rFonts w:ascii="Garamond" w:hAnsi="Garamond"/>
          <w:sz w:val="24"/>
          <w:szCs w:val="24"/>
        </w:rPr>
        <w:t>, comma 13).</w:t>
      </w:r>
    </w:p>
    <w:p w14:paraId="3691E4A9" w14:textId="400BD0B2" w:rsidR="00B93656" w:rsidRDefault="00B93656" w:rsidP="00B93656">
      <w:pPr>
        <w:jc w:val="both"/>
        <w:rPr>
          <w:rFonts w:ascii="Garamond" w:hAnsi="Garamond"/>
          <w:sz w:val="24"/>
          <w:szCs w:val="24"/>
        </w:rPr>
      </w:pPr>
      <w:r>
        <w:rPr>
          <w:rFonts w:ascii="Garamond" w:hAnsi="Garamond"/>
          <w:sz w:val="24"/>
          <w:szCs w:val="24"/>
        </w:rPr>
        <w:t xml:space="preserve">D’altro lato schemi sanzionatori sono previsti anche in singole norme del Codice dei contratti: sia a carico degli operatori economici, ad esempio in materia di </w:t>
      </w:r>
      <w:r w:rsidRPr="00980DC1">
        <w:rPr>
          <w:rFonts w:ascii="Garamond" w:hAnsi="Garamond"/>
          <w:sz w:val="24"/>
          <w:szCs w:val="24"/>
        </w:rPr>
        <w:t xml:space="preserve">qualificazione degli esecutori di lavori </w:t>
      </w:r>
      <w:r>
        <w:rPr>
          <w:rFonts w:ascii="Garamond" w:hAnsi="Garamond"/>
          <w:sz w:val="24"/>
          <w:szCs w:val="24"/>
        </w:rPr>
        <w:t>pubblici</w:t>
      </w:r>
      <w:r>
        <w:rPr>
          <w:rStyle w:val="Rimandonotaapidipagina"/>
          <w:rFonts w:ascii="Garamond" w:hAnsi="Garamond"/>
          <w:sz w:val="24"/>
          <w:szCs w:val="24"/>
        </w:rPr>
        <w:footnoteReference w:id="16"/>
      </w:r>
      <w:r>
        <w:rPr>
          <w:rFonts w:ascii="Garamond" w:hAnsi="Garamond"/>
          <w:sz w:val="24"/>
          <w:szCs w:val="24"/>
        </w:rPr>
        <w:t xml:space="preserve"> o i</w:t>
      </w:r>
      <w:r w:rsidRPr="003613E1">
        <w:rPr>
          <w:rFonts w:ascii="Garamond" w:hAnsi="Garamond"/>
          <w:sz w:val="24"/>
          <w:szCs w:val="24"/>
        </w:rPr>
        <w:t>n caso di presentazione di falsa dichiarazione o falsa documentazione nelle procedure di gara e negli affidamenti di subappalto</w:t>
      </w:r>
      <w:r>
        <w:rPr>
          <w:rFonts w:ascii="Garamond" w:hAnsi="Garamond"/>
          <w:sz w:val="24"/>
          <w:szCs w:val="24"/>
        </w:rPr>
        <w:t xml:space="preserve">; sia a carico delle amministrazioni, ad esempio per la violazione </w:t>
      </w:r>
      <w:r w:rsidR="009E6C0A">
        <w:rPr>
          <w:rFonts w:ascii="Garamond" w:hAnsi="Garamond"/>
          <w:sz w:val="24"/>
          <w:szCs w:val="24"/>
        </w:rPr>
        <w:t>degli</w:t>
      </w:r>
      <w:r>
        <w:rPr>
          <w:rFonts w:ascii="Garamond" w:hAnsi="Garamond"/>
          <w:sz w:val="24"/>
          <w:szCs w:val="24"/>
        </w:rPr>
        <w:t xml:space="preserve"> obblighi informativi in tema di varianti</w:t>
      </w:r>
      <w:r w:rsidR="008D158B">
        <w:rPr>
          <w:rFonts w:ascii="Garamond" w:hAnsi="Garamond"/>
          <w:sz w:val="24"/>
          <w:szCs w:val="24"/>
        </w:rPr>
        <w:t xml:space="preserve">, </w:t>
      </w:r>
      <w:r>
        <w:rPr>
          <w:rFonts w:ascii="Garamond" w:hAnsi="Garamond"/>
          <w:sz w:val="24"/>
          <w:szCs w:val="24"/>
        </w:rPr>
        <w:t>per l’approvazione di varianti illegittime</w:t>
      </w:r>
      <w:r w:rsidR="009E6C0A">
        <w:rPr>
          <w:rFonts w:ascii="Garamond" w:hAnsi="Garamond"/>
          <w:sz w:val="24"/>
          <w:szCs w:val="24"/>
        </w:rPr>
        <w:t xml:space="preserve"> o</w:t>
      </w:r>
      <w:r w:rsidR="00E22CDA">
        <w:rPr>
          <w:rFonts w:ascii="Garamond" w:hAnsi="Garamond"/>
          <w:sz w:val="24"/>
          <w:szCs w:val="24"/>
        </w:rPr>
        <w:t xml:space="preserve"> per </w:t>
      </w:r>
      <w:r w:rsidR="00E102CB">
        <w:rPr>
          <w:rFonts w:ascii="Garamond" w:hAnsi="Garamond"/>
          <w:sz w:val="24"/>
          <w:szCs w:val="24"/>
        </w:rPr>
        <w:t>violazioni occors</w:t>
      </w:r>
      <w:r w:rsidR="00DD6868">
        <w:rPr>
          <w:rFonts w:ascii="Garamond" w:hAnsi="Garamond"/>
          <w:sz w:val="24"/>
          <w:szCs w:val="24"/>
        </w:rPr>
        <w:t>e</w:t>
      </w:r>
      <w:r w:rsidR="00E102CB">
        <w:rPr>
          <w:rFonts w:ascii="Garamond" w:hAnsi="Garamond"/>
          <w:sz w:val="24"/>
          <w:szCs w:val="24"/>
        </w:rPr>
        <w:t xml:space="preserve"> nel procedimento di qualificazione delle stazioni appaltanti</w:t>
      </w:r>
      <w:r>
        <w:rPr>
          <w:rFonts w:ascii="Garamond" w:hAnsi="Garamond"/>
          <w:sz w:val="24"/>
          <w:szCs w:val="24"/>
        </w:rPr>
        <w:t>.</w:t>
      </w:r>
    </w:p>
    <w:p w14:paraId="5305F075" w14:textId="1B329F62" w:rsidR="00F81095" w:rsidRDefault="00A9375C" w:rsidP="00B93656">
      <w:pPr>
        <w:jc w:val="both"/>
        <w:rPr>
          <w:rFonts w:ascii="Garamond" w:hAnsi="Garamond"/>
          <w:sz w:val="24"/>
          <w:szCs w:val="24"/>
        </w:rPr>
      </w:pPr>
      <w:r>
        <w:rPr>
          <w:rFonts w:ascii="Garamond" w:hAnsi="Garamond"/>
          <w:sz w:val="24"/>
          <w:szCs w:val="24"/>
        </w:rPr>
        <w:t xml:space="preserve">Con </w:t>
      </w:r>
      <w:r w:rsidR="00A56CA0">
        <w:rPr>
          <w:rFonts w:ascii="Garamond" w:hAnsi="Garamond"/>
          <w:sz w:val="24"/>
          <w:szCs w:val="24"/>
        </w:rPr>
        <w:t>l’adozione del nuovo codice dei contratti</w:t>
      </w:r>
      <w:r w:rsidR="009631D4">
        <w:rPr>
          <w:rFonts w:ascii="Garamond" w:hAnsi="Garamond"/>
          <w:sz w:val="24"/>
          <w:szCs w:val="24"/>
        </w:rPr>
        <w:t>,</w:t>
      </w:r>
      <w:r w:rsidR="00A56CA0">
        <w:rPr>
          <w:rFonts w:ascii="Garamond" w:hAnsi="Garamond"/>
          <w:sz w:val="24"/>
          <w:szCs w:val="24"/>
        </w:rPr>
        <w:t xml:space="preserve"> dovrebbe </w:t>
      </w:r>
      <w:r>
        <w:rPr>
          <w:rFonts w:ascii="Garamond" w:hAnsi="Garamond"/>
          <w:sz w:val="24"/>
          <w:szCs w:val="24"/>
        </w:rPr>
        <w:t xml:space="preserve">acquisire concretezza anche il compito dell’ANAC di </w:t>
      </w:r>
      <w:r w:rsidR="009631D4">
        <w:rPr>
          <w:rFonts w:ascii="Garamond" w:hAnsi="Garamond"/>
          <w:sz w:val="24"/>
          <w:szCs w:val="24"/>
        </w:rPr>
        <w:t>gestire l’elenco delle stazioni appaltanti e delle contrali di committenza qualificate</w:t>
      </w:r>
      <w:r w:rsidR="00F80DA4">
        <w:rPr>
          <w:rFonts w:ascii="Garamond" w:hAnsi="Garamond"/>
          <w:sz w:val="24"/>
          <w:szCs w:val="24"/>
        </w:rPr>
        <w:t xml:space="preserve"> nell’ambito di un sistema che, ove attuato, dovrebbe consentire solo </w:t>
      </w:r>
      <w:r w:rsidR="00302830">
        <w:rPr>
          <w:rFonts w:ascii="Garamond" w:hAnsi="Garamond"/>
          <w:sz w:val="24"/>
          <w:szCs w:val="24"/>
        </w:rPr>
        <w:t>a queste categorie di enti di affidare ed eseguire contratti pubblici.</w:t>
      </w:r>
    </w:p>
    <w:p w14:paraId="15FE07C1" w14:textId="79E0425F" w:rsidR="00B93656" w:rsidRDefault="00627872" w:rsidP="00B93656">
      <w:pPr>
        <w:jc w:val="both"/>
        <w:rPr>
          <w:rFonts w:ascii="Garamond" w:hAnsi="Garamond"/>
          <w:sz w:val="24"/>
          <w:szCs w:val="24"/>
        </w:rPr>
      </w:pPr>
      <w:r>
        <w:rPr>
          <w:rFonts w:ascii="Garamond" w:hAnsi="Garamond"/>
          <w:sz w:val="24"/>
          <w:szCs w:val="24"/>
        </w:rPr>
        <w:t>Di non</w:t>
      </w:r>
      <w:r w:rsidR="00B93656">
        <w:rPr>
          <w:rFonts w:ascii="Garamond" w:hAnsi="Garamond"/>
          <w:sz w:val="24"/>
          <w:szCs w:val="24"/>
        </w:rPr>
        <w:t xml:space="preserve"> secondaria importanza sono talune funzioni dell’Anac che trovano la propria disciplina fuori del Codice, in singole leggi speciali. A tal riguardo, merita sicuramente un cenno la fattispecie delineata dall’art. 32, d.l. n. 90/2014 che – nel caso in </w:t>
      </w:r>
      <w:r w:rsidR="00B93656" w:rsidRPr="003613E1">
        <w:rPr>
          <w:rFonts w:ascii="Garamond" w:hAnsi="Garamond"/>
          <w:sz w:val="24"/>
          <w:szCs w:val="24"/>
        </w:rPr>
        <w:t xml:space="preserve">cui l'autorità giudiziaria proceda per i delitti </w:t>
      </w:r>
      <w:r w:rsidR="00B93656">
        <w:rPr>
          <w:rFonts w:ascii="Garamond" w:hAnsi="Garamond"/>
          <w:sz w:val="24"/>
          <w:szCs w:val="24"/>
        </w:rPr>
        <w:t xml:space="preserve">contro la pubblica amministrazione </w:t>
      </w:r>
      <w:r w:rsidR="00B93656" w:rsidRPr="003613E1">
        <w:rPr>
          <w:rFonts w:ascii="Garamond" w:hAnsi="Garamond"/>
          <w:sz w:val="24"/>
          <w:szCs w:val="24"/>
        </w:rPr>
        <w:t xml:space="preserve">ovvero in presenza di rilevate situazioni anomale e comunque sintomatiche di condotte illecite o eventi criminali attribuibili ad un'impresa aggiudicataria di un </w:t>
      </w:r>
      <w:r w:rsidR="00B93656">
        <w:rPr>
          <w:rFonts w:ascii="Garamond" w:hAnsi="Garamond"/>
          <w:sz w:val="24"/>
          <w:szCs w:val="24"/>
        </w:rPr>
        <w:t>contratto pubblico – affida al Presidente dell'Anac il compito di</w:t>
      </w:r>
      <w:r w:rsidR="00B93656" w:rsidRPr="003613E1">
        <w:rPr>
          <w:rFonts w:ascii="Garamond" w:hAnsi="Garamond"/>
          <w:sz w:val="24"/>
          <w:szCs w:val="24"/>
        </w:rPr>
        <w:t xml:space="preserve"> informa</w:t>
      </w:r>
      <w:r w:rsidR="00B93656">
        <w:rPr>
          <w:rFonts w:ascii="Garamond" w:hAnsi="Garamond"/>
          <w:sz w:val="24"/>
          <w:szCs w:val="24"/>
        </w:rPr>
        <w:t>rne</w:t>
      </w:r>
      <w:r w:rsidR="00B93656" w:rsidRPr="003613E1">
        <w:rPr>
          <w:rFonts w:ascii="Garamond" w:hAnsi="Garamond"/>
          <w:sz w:val="24"/>
          <w:szCs w:val="24"/>
        </w:rPr>
        <w:t xml:space="preserve"> il procuratore della Repubblica e, in presenza di fatti gravi e accertati, </w:t>
      </w:r>
      <w:r w:rsidR="00B93656">
        <w:rPr>
          <w:rFonts w:ascii="Garamond" w:hAnsi="Garamond"/>
          <w:sz w:val="24"/>
          <w:szCs w:val="24"/>
        </w:rPr>
        <w:t xml:space="preserve">di proporre </w:t>
      </w:r>
      <w:r w:rsidR="00B93656" w:rsidRPr="003613E1">
        <w:rPr>
          <w:rFonts w:ascii="Garamond" w:hAnsi="Garamond"/>
          <w:sz w:val="24"/>
          <w:szCs w:val="24"/>
        </w:rPr>
        <w:t xml:space="preserve">al Prefetto </w:t>
      </w:r>
      <w:r w:rsidR="00B93656">
        <w:rPr>
          <w:rFonts w:ascii="Garamond" w:hAnsi="Garamond"/>
          <w:sz w:val="24"/>
          <w:szCs w:val="24"/>
        </w:rPr>
        <w:t xml:space="preserve">l’adozione di misure che possono essere particolarmente incisive sulla gestione aziendale, potendo arrivare sino alla </w:t>
      </w:r>
      <w:r w:rsidR="00B93656" w:rsidRPr="003613E1">
        <w:rPr>
          <w:rFonts w:ascii="Garamond" w:hAnsi="Garamond"/>
          <w:sz w:val="24"/>
          <w:szCs w:val="24"/>
        </w:rPr>
        <w:t xml:space="preserve">rinnovazione degli organi sociali </w:t>
      </w:r>
      <w:r w:rsidR="00B93656">
        <w:rPr>
          <w:rFonts w:ascii="Garamond" w:hAnsi="Garamond"/>
          <w:sz w:val="24"/>
          <w:szCs w:val="24"/>
        </w:rPr>
        <w:t xml:space="preserve">tramite la nomina di commissari straordinari che provvedano </w:t>
      </w:r>
      <w:r w:rsidR="00B93656" w:rsidRPr="003613E1">
        <w:rPr>
          <w:rFonts w:ascii="Garamond" w:hAnsi="Garamond"/>
          <w:sz w:val="24"/>
          <w:szCs w:val="24"/>
        </w:rPr>
        <w:t>alla straordinaria e temporanea gestione dell'impresa limitatamente alla completa ese</w:t>
      </w:r>
      <w:r w:rsidR="00B93656">
        <w:rPr>
          <w:rFonts w:ascii="Garamond" w:hAnsi="Garamond"/>
          <w:sz w:val="24"/>
          <w:szCs w:val="24"/>
        </w:rPr>
        <w:t>cuzione del contratto d'appalto.</w:t>
      </w:r>
    </w:p>
    <w:p w14:paraId="4D7C4138" w14:textId="77777777" w:rsidR="00B93656" w:rsidRDefault="00B93656" w:rsidP="00B93656">
      <w:pPr>
        <w:jc w:val="both"/>
        <w:rPr>
          <w:rFonts w:ascii="Garamond" w:hAnsi="Garamond"/>
          <w:sz w:val="24"/>
          <w:szCs w:val="24"/>
        </w:rPr>
      </w:pPr>
      <w:r>
        <w:rPr>
          <w:rFonts w:ascii="Garamond" w:hAnsi="Garamond"/>
          <w:sz w:val="24"/>
          <w:szCs w:val="24"/>
        </w:rPr>
        <w:t xml:space="preserve">Nell’ottica di semplificare e rendere più snella la circolazione informativa nelle commesse pubbliche, all’Autorità sono affidati anche importi compiti sulla gestione e tenuta della </w:t>
      </w:r>
      <w:r w:rsidRPr="00980DC1">
        <w:rPr>
          <w:rFonts w:ascii="Garamond" w:hAnsi="Garamond"/>
          <w:sz w:val="24"/>
          <w:szCs w:val="24"/>
        </w:rPr>
        <w:t>Banca Dati Nazionale dei Contratti Pubblici</w:t>
      </w:r>
      <w:r>
        <w:rPr>
          <w:rFonts w:ascii="Garamond" w:hAnsi="Garamond"/>
          <w:sz w:val="24"/>
          <w:szCs w:val="24"/>
        </w:rPr>
        <w:t xml:space="preserve"> e del </w:t>
      </w:r>
      <w:r w:rsidRPr="00980DC1">
        <w:rPr>
          <w:rFonts w:ascii="Garamond" w:hAnsi="Garamond"/>
          <w:sz w:val="24"/>
          <w:szCs w:val="24"/>
        </w:rPr>
        <w:t>Casellario Informatico dei contratti pubblici di lavori, servizi e forniture</w:t>
      </w:r>
      <w:r>
        <w:rPr>
          <w:rStyle w:val="Rimandonotaapidipagina"/>
          <w:rFonts w:ascii="Garamond" w:hAnsi="Garamond"/>
          <w:sz w:val="24"/>
          <w:szCs w:val="24"/>
        </w:rPr>
        <w:footnoteReference w:id="17"/>
      </w:r>
      <w:r>
        <w:rPr>
          <w:rFonts w:ascii="Garamond" w:hAnsi="Garamond"/>
          <w:sz w:val="24"/>
          <w:szCs w:val="24"/>
        </w:rPr>
        <w:t>.</w:t>
      </w:r>
    </w:p>
    <w:p w14:paraId="287D636A" w14:textId="632F0644" w:rsidR="00B93656" w:rsidRDefault="00B93656" w:rsidP="00B93656">
      <w:pPr>
        <w:jc w:val="both"/>
        <w:rPr>
          <w:rFonts w:ascii="Garamond" w:hAnsi="Garamond"/>
          <w:sz w:val="24"/>
          <w:szCs w:val="24"/>
        </w:rPr>
      </w:pPr>
      <w:r>
        <w:rPr>
          <w:rFonts w:ascii="Garamond" w:hAnsi="Garamond"/>
          <w:sz w:val="24"/>
          <w:szCs w:val="24"/>
        </w:rPr>
        <w:t xml:space="preserve">Per l’esercizio delle proprie funzioni l’Anac gode di rilevanti poteri. Infatti, oltre a poter disporre acquisizioni istruttorie presso pubbliche amministrazioni o soggetti privati, può </w:t>
      </w:r>
      <w:r w:rsidRPr="00980DC1">
        <w:rPr>
          <w:rFonts w:ascii="Garamond" w:hAnsi="Garamond"/>
          <w:sz w:val="24"/>
          <w:szCs w:val="24"/>
        </w:rPr>
        <w:t>disporre ispezioni</w:t>
      </w:r>
      <w:r>
        <w:rPr>
          <w:rFonts w:ascii="Garamond" w:hAnsi="Garamond"/>
          <w:sz w:val="24"/>
          <w:szCs w:val="24"/>
        </w:rPr>
        <w:t xml:space="preserve"> </w:t>
      </w:r>
      <w:r w:rsidRPr="00980DC1">
        <w:rPr>
          <w:rFonts w:ascii="Garamond" w:hAnsi="Garamond"/>
          <w:sz w:val="24"/>
          <w:szCs w:val="24"/>
        </w:rPr>
        <w:t>avvalendosi eventualmente della collaborazione di altri organi dello Stato nonché dell'ausilio della Guardia di Finanza</w:t>
      </w:r>
      <w:r w:rsidR="00FA3D81">
        <w:rPr>
          <w:rStyle w:val="Rimandonotaapidipagina"/>
          <w:rFonts w:ascii="Garamond" w:hAnsi="Garamond"/>
          <w:sz w:val="24"/>
          <w:szCs w:val="24"/>
        </w:rPr>
        <w:footnoteReference w:id="18"/>
      </w:r>
      <w:r w:rsidRPr="00980DC1">
        <w:rPr>
          <w:rFonts w:ascii="Garamond" w:hAnsi="Garamond"/>
          <w:sz w:val="24"/>
          <w:szCs w:val="24"/>
        </w:rPr>
        <w:t>.</w:t>
      </w:r>
      <w:r>
        <w:rPr>
          <w:rFonts w:ascii="Garamond" w:hAnsi="Garamond"/>
          <w:sz w:val="24"/>
          <w:szCs w:val="24"/>
        </w:rPr>
        <w:t xml:space="preserve"> </w:t>
      </w:r>
    </w:p>
    <w:p w14:paraId="6D5BA5C8" w14:textId="77777777" w:rsidR="00B93656" w:rsidRDefault="00B93656" w:rsidP="00B93656">
      <w:pPr>
        <w:jc w:val="both"/>
        <w:rPr>
          <w:rFonts w:ascii="Garamond" w:hAnsi="Garamond"/>
          <w:sz w:val="24"/>
          <w:szCs w:val="24"/>
        </w:rPr>
      </w:pPr>
      <w:r w:rsidRPr="00980DC1">
        <w:rPr>
          <w:rFonts w:ascii="Garamond" w:hAnsi="Garamond"/>
          <w:sz w:val="24"/>
          <w:szCs w:val="24"/>
        </w:rPr>
        <w:t>Presso l'Autorità</w:t>
      </w:r>
      <w:r>
        <w:rPr>
          <w:rFonts w:ascii="Garamond" w:hAnsi="Garamond"/>
          <w:sz w:val="24"/>
          <w:szCs w:val="24"/>
        </w:rPr>
        <w:t>, infine,</w:t>
      </w:r>
      <w:r w:rsidRPr="00980DC1">
        <w:rPr>
          <w:rFonts w:ascii="Garamond" w:hAnsi="Garamond"/>
          <w:sz w:val="24"/>
          <w:szCs w:val="24"/>
        </w:rPr>
        <w:t xml:space="preserve"> opera la Camera arbitrale per i contratti pubblici relativi a lavori, servizi, forniture</w:t>
      </w:r>
      <w:r>
        <w:rPr>
          <w:rFonts w:ascii="Garamond" w:hAnsi="Garamond"/>
          <w:sz w:val="24"/>
          <w:szCs w:val="24"/>
        </w:rPr>
        <w:t xml:space="preserve"> che può sovrintendere alla risoluzione alternativa delle controversie, rimedio che tuttavia oggi vede minore applicazione che in passato.</w:t>
      </w:r>
    </w:p>
    <w:p w14:paraId="65F30108" w14:textId="77777777" w:rsidR="006D5F89" w:rsidRPr="006D5F89" w:rsidRDefault="00801584" w:rsidP="00801584">
      <w:pPr>
        <w:jc w:val="both"/>
        <w:rPr>
          <w:rFonts w:ascii="Garamond" w:hAnsi="Garamond"/>
          <w:b/>
          <w:sz w:val="24"/>
          <w:szCs w:val="24"/>
        </w:rPr>
      </w:pPr>
      <w:r w:rsidRPr="006D5F89">
        <w:rPr>
          <w:rFonts w:ascii="Garamond" w:hAnsi="Garamond"/>
          <w:b/>
          <w:sz w:val="24"/>
          <w:szCs w:val="24"/>
        </w:rPr>
        <w:lastRenderedPageBreak/>
        <w:t xml:space="preserve">5. </w:t>
      </w:r>
      <w:r w:rsidR="004C4AC8" w:rsidRPr="004C4AC8">
        <w:rPr>
          <w:rFonts w:ascii="Garamond" w:hAnsi="Garamond"/>
          <w:b/>
          <w:sz w:val="24"/>
          <w:szCs w:val="24"/>
        </w:rPr>
        <w:t xml:space="preserve">Le nuove frontiere: </w:t>
      </w:r>
      <w:r w:rsidR="001E6017">
        <w:rPr>
          <w:rFonts w:ascii="Garamond" w:hAnsi="Garamond"/>
          <w:b/>
          <w:sz w:val="24"/>
          <w:szCs w:val="24"/>
        </w:rPr>
        <w:t>il</w:t>
      </w:r>
      <w:r w:rsidR="001E6017" w:rsidRPr="006D5F89">
        <w:rPr>
          <w:rFonts w:ascii="Garamond" w:hAnsi="Garamond"/>
          <w:b/>
          <w:sz w:val="24"/>
          <w:szCs w:val="24"/>
        </w:rPr>
        <w:t xml:space="preserve"> precontenzioso </w:t>
      </w:r>
    </w:p>
    <w:p w14:paraId="367B6C85" w14:textId="03BAC1F4" w:rsidR="0043030E" w:rsidRDefault="0043030E" w:rsidP="004A2293">
      <w:pPr>
        <w:jc w:val="both"/>
        <w:rPr>
          <w:rFonts w:ascii="Garamond" w:hAnsi="Garamond"/>
          <w:b/>
          <w:sz w:val="24"/>
          <w:szCs w:val="24"/>
        </w:rPr>
      </w:pPr>
      <w:r>
        <w:rPr>
          <w:rFonts w:ascii="Garamond" w:eastAsia="Times New Roman" w:hAnsi="Garamond" w:cs="Times New Roman"/>
          <w:sz w:val="24"/>
          <w:szCs w:val="24"/>
          <w:lang w:eastAsia="it-IT"/>
        </w:rPr>
        <w:t xml:space="preserve">Tra gli </w:t>
      </w:r>
      <w:r w:rsidR="007023C1">
        <w:rPr>
          <w:rFonts w:ascii="Garamond" w:eastAsia="Times New Roman" w:hAnsi="Garamond" w:cs="Times New Roman"/>
          <w:sz w:val="24"/>
          <w:szCs w:val="24"/>
          <w:lang w:eastAsia="it-IT"/>
        </w:rPr>
        <w:t xml:space="preserve">istituti </w:t>
      </w:r>
      <w:r w:rsidR="00527A70">
        <w:rPr>
          <w:rFonts w:ascii="Garamond" w:eastAsia="Times New Roman" w:hAnsi="Garamond" w:cs="Times New Roman"/>
          <w:sz w:val="24"/>
          <w:szCs w:val="24"/>
          <w:lang w:eastAsia="it-IT"/>
        </w:rPr>
        <w:t xml:space="preserve">affidati alla cura </w:t>
      </w:r>
      <w:r w:rsidR="004A2293">
        <w:rPr>
          <w:rFonts w:ascii="Garamond" w:eastAsia="Times New Roman" w:hAnsi="Garamond" w:cs="Times New Roman"/>
          <w:sz w:val="24"/>
          <w:szCs w:val="24"/>
          <w:lang w:eastAsia="it-IT"/>
        </w:rPr>
        <w:t xml:space="preserve">dell’Autorità da menzionare per incisività e rilevanza </w:t>
      </w:r>
      <w:r w:rsidR="001E6017">
        <w:rPr>
          <w:rFonts w:ascii="Garamond" w:eastAsia="Times New Roman" w:hAnsi="Garamond" w:cs="Times New Roman"/>
          <w:sz w:val="24"/>
          <w:szCs w:val="24"/>
          <w:lang w:eastAsia="it-IT"/>
        </w:rPr>
        <w:t>merita</w:t>
      </w:r>
      <w:r w:rsidR="007023C1">
        <w:rPr>
          <w:rFonts w:ascii="Garamond" w:eastAsia="Times New Roman" w:hAnsi="Garamond" w:cs="Times New Roman"/>
          <w:sz w:val="24"/>
          <w:szCs w:val="24"/>
          <w:lang w:eastAsia="it-IT"/>
        </w:rPr>
        <w:t xml:space="preserve"> cenni specifici</w:t>
      </w:r>
      <w:r w:rsidR="004A2293">
        <w:rPr>
          <w:rFonts w:ascii="Garamond" w:eastAsia="Times New Roman" w:hAnsi="Garamond" w:cs="Times New Roman"/>
          <w:sz w:val="24"/>
          <w:szCs w:val="24"/>
          <w:lang w:eastAsia="it-IT"/>
        </w:rPr>
        <w:t xml:space="preserve"> il precontenzioso</w:t>
      </w:r>
      <w:r w:rsidR="004A2293">
        <w:rPr>
          <w:rFonts w:ascii="Garamond" w:hAnsi="Garamond"/>
          <w:sz w:val="24"/>
          <w:szCs w:val="24"/>
        </w:rPr>
        <w:t>.</w:t>
      </w:r>
    </w:p>
    <w:p w14:paraId="37FEF146" w14:textId="77777777" w:rsidR="004A2293" w:rsidRDefault="004A2293" w:rsidP="004A2293">
      <w:pPr>
        <w:jc w:val="both"/>
        <w:rPr>
          <w:rFonts w:ascii="Garamond" w:hAnsi="Garamond"/>
          <w:sz w:val="24"/>
          <w:szCs w:val="24"/>
        </w:rPr>
      </w:pPr>
      <w:r w:rsidRPr="004A2293">
        <w:rPr>
          <w:rFonts w:ascii="Garamond" w:hAnsi="Garamond"/>
          <w:sz w:val="24"/>
          <w:szCs w:val="24"/>
        </w:rPr>
        <w:t>Quanto al</w:t>
      </w:r>
      <w:r>
        <w:rPr>
          <w:rFonts w:ascii="Garamond" w:hAnsi="Garamond"/>
          <w:b/>
          <w:sz w:val="24"/>
          <w:szCs w:val="24"/>
        </w:rPr>
        <w:t xml:space="preserve"> precontenzioso</w:t>
      </w:r>
      <w:r w:rsidRPr="004A2293">
        <w:rPr>
          <w:rFonts w:ascii="Garamond" w:hAnsi="Garamond"/>
          <w:sz w:val="24"/>
          <w:szCs w:val="24"/>
        </w:rPr>
        <w:t xml:space="preserve">, </w:t>
      </w:r>
      <w:r w:rsidR="007023C1">
        <w:rPr>
          <w:rFonts w:ascii="Garamond" w:hAnsi="Garamond"/>
          <w:sz w:val="24"/>
          <w:szCs w:val="24"/>
        </w:rPr>
        <w:t>la disciplina del precontenzioso è contenuta nel Codice dei contratti</w:t>
      </w:r>
      <w:r w:rsidR="003F4CB3">
        <w:rPr>
          <w:rFonts w:ascii="Garamond" w:hAnsi="Garamond"/>
          <w:sz w:val="24"/>
          <w:szCs w:val="24"/>
        </w:rPr>
        <w:t xml:space="preserve"> pubblici</w:t>
      </w:r>
      <w:r w:rsidR="007023C1">
        <w:rPr>
          <w:rFonts w:ascii="Garamond" w:hAnsi="Garamond"/>
          <w:sz w:val="24"/>
          <w:szCs w:val="24"/>
        </w:rPr>
        <w:t>. Attualmente gli istituti allo stesso riconducibili sono tre.</w:t>
      </w:r>
    </w:p>
    <w:p w14:paraId="4A7AE4CB" w14:textId="5513DB4B" w:rsidR="007023C1" w:rsidRDefault="007023C1" w:rsidP="004A2293">
      <w:pPr>
        <w:jc w:val="both"/>
        <w:rPr>
          <w:rFonts w:ascii="Garamond" w:hAnsi="Garamond"/>
          <w:sz w:val="24"/>
          <w:szCs w:val="24"/>
        </w:rPr>
      </w:pPr>
      <w:r>
        <w:rPr>
          <w:rFonts w:ascii="Garamond" w:hAnsi="Garamond"/>
          <w:sz w:val="24"/>
          <w:szCs w:val="24"/>
        </w:rPr>
        <w:t xml:space="preserve">In primo luogo vi sono i </w:t>
      </w:r>
      <w:r w:rsidRPr="008D0B8D">
        <w:rPr>
          <w:rFonts w:ascii="Garamond" w:hAnsi="Garamond"/>
          <w:b/>
          <w:sz w:val="24"/>
          <w:szCs w:val="24"/>
        </w:rPr>
        <w:t>pareri di precontenzioso</w:t>
      </w:r>
      <w:r>
        <w:rPr>
          <w:rFonts w:ascii="Garamond" w:hAnsi="Garamond"/>
          <w:sz w:val="24"/>
          <w:szCs w:val="24"/>
        </w:rPr>
        <w:t xml:space="preserve">, disciplinati </w:t>
      </w:r>
      <w:r w:rsidRPr="002A6123">
        <w:rPr>
          <w:rFonts w:ascii="Garamond" w:hAnsi="Garamond"/>
          <w:sz w:val="24"/>
          <w:szCs w:val="24"/>
        </w:rPr>
        <w:t>dall’</w:t>
      </w:r>
      <w:r w:rsidRPr="002A6123">
        <w:rPr>
          <w:rFonts w:ascii="Garamond" w:hAnsi="Garamond"/>
          <w:b/>
          <w:sz w:val="24"/>
          <w:szCs w:val="24"/>
        </w:rPr>
        <w:t>art. 2</w:t>
      </w:r>
      <w:r w:rsidR="00F5029B">
        <w:rPr>
          <w:rFonts w:ascii="Garamond" w:hAnsi="Garamond"/>
          <w:b/>
          <w:sz w:val="24"/>
          <w:szCs w:val="24"/>
        </w:rPr>
        <w:t>20, comma 1, d.lgs. n. 36/2023</w:t>
      </w:r>
      <w:r w:rsidR="00925180">
        <w:rPr>
          <w:rFonts w:ascii="Garamond" w:hAnsi="Garamond"/>
          <w:b/>
          <w:sz w:val="24"/>
          <w:szCs w:val="24"/>
        </w:rPr>
        <w:t xml:space="preserve"> (corrispondente all’art. 211, comma 1, d.lgs. n. 50/2016)</w:t>
      </w:r>
      <w:r w:rsidR="008D0B8D">
        <w:rPr>
          <w:rFonts w:ascii="Garamond" w:hAnsi="Garamond"/>
          <w:sz w:val="24"/>
          <w:szCs w:val="24"/>
        </w:rPr>
        <w:t xml:space="preserve"> e resi dall’Autorità, </w:t>
      </w:r>
      <w:r w:rsidR="008D0B8D" w:rsidRPr="008D0B8D">
        <w:rPr>
          <w:rFonts w:ascii="Garamond" w:hAnsi="Garamond"/>
          <w:sz w:val="24"/>
          <w:szCs w:val="24"/>
        </w:rPr>
        <w:t>previo contraddittorio,</w:t>
      </w:r>
      <w:r w:rsidR="008D0B8D">
        <w:rPr>
          <w:rFonts w:ascii="Garamond" w:hAnsi="Garamond"/>
          <w:sz w:val="24"/>
          <w:szCs w:val="24"/>
        </w:rPr>
        <w:t xml:space="preserve"> s</w:t>
      </w:r>
      <w:r w:rsidR="008D0B8D" w:rsidRPr="008D0B8D">
        <w:rPr>
          <w:rFonts w:ascii="Garamond" w:hAnsi="Garamond"/>
          <w:sz w:val="24"/>
          <w:szCs w:val="24"/>
        </w:rPr>
        <w:t>u iniziativa della staz</w:t>
      </w:r>
      <w:r w:rsidR="008D0B8D">
        <w:rPr>
          <w:rFonts w:ascii="Garamond" w:hAnsi="Garamond"/>
          <w:sz w:val="24"/>
          <w:szCs w:val="24"/>
        </w:rPr>
        <w:t>ione appaltante</w:t>
      </w:r>
      <w:r w:rsidR="00C468AF">
        <w:rPr>
          <w:rFonts w:ascii="Garamond" w:hAnsi="Garamond"/>
          <w:sz w:val="24"/>
          <w:szCs w:val="24"/>
        </w:rPr>
        <w:t>, dell’ente concedente</w:t>
      </w:r>
      <w:r w:rsidR="008D0B8D">
        <w:rPr>
          <w:rFonts w:ascii="Garamond" w:hAnsi="Garamond"/>
          <w:sz w:val="24"/>
          <w:szCs w:val="24"/>
        </w:rPr>
        <w:t xml:space="preserve"> o di una o più </w:t>
      </w:r>
      <w:r w:rsidR="008D0B8D" w:rsidRPr="008D0B8D">
        <w:rPr>
          <w:rFonts w:ascii="Garamond" w:hAnsi="Garamond"/>
          <w:sz w:val="24"/>
          <w:szCs w:val="24"/>
        </w:rPr>
        <w:t xml:space="preserve">delle altre parti, relativamente a questioni insorte durante lo svolgimento delle procedure di gara, entro trenta giorni dalla ricezione della richiesta. </w:t>
      </w:r>
      <w:r w:rsidR="00333A4A">
        <w:rPr>
          <w:rFonts w:ascii="Garamond" w:hAnsi="Garamond"/>
          <w:sz w:val="24"/>
          <w:szCs w:val="24"/>
        </w:rPr>
        <w:t>Nella previgente disciplina, i</w:t>
      </w:r>
      <w:r w:rsidR="008D0B8D" w:rsidRPr="008D0B8D">
        <w:rPr>
          <w:rFonts w:ascii="Garamond" w:hAnsi="Garamond"/>
          <w:sz w:val="24"/>
          <w:szCs w:val="24"/>
        </w:rPr>
        <w:t>l parere obbliga</w:t>
      </w:r>
      <w:r w:rsidR="009B7458">
        <w:rPr>
          <w:rFonts w:ascii="Garamond" w:hAnsi="Garamond"/>
          <w:sz w:val="24"/>
          <w:szCs w:val="24"/>
        </w:rPr>
        <w:t>va</w:t>
      </w:r>
      <w:r w:rsidR="008D0B8D" w:rsidRPr="008D0B8D">
        <w:rPr>
          <w:rFonts w:ascii="Garamond" w:hAnsi="Garamond"/>
          <w:sz w:val="24"/>
          <w:szCs w:val="24"/>
        </w:rPr>
        <w:t xml:space="preserve"> </w:t>
      </w:r>
      <w:r w:rsidR="00333A4A">
        <w:rPr>
          <w:rFonts w:ascii="Garamond" w:hAnsi="Garamond"/>
          <w:sz w:val="24"/>
          <w:szCs w:val="24"/>
        </w:rPr>
        <w:t>le parti che</w:t>
      </w:r>
      <w:r w:rsidR="008D0B8D" w:rsidRPr="008D0B8D">
        <w:rPr>
          <w:rFonts w:ascii="Garamond" w:hAnsi="Garamond"/>
          <w:sz w:val="24"/>
          <w:szCs w:val="24"/>
        </w:rPr>
        <w:t xml:space="preserve"> vi abbiano preventivamente acconsentito ad attenersi a quanto in esso stabilito</w:t>
      </w:r>
      <w:r w:rsidR="00333A4A">
        <w:rPr>
          <w:rFonts w:ascii="Garamond" w:hAnsi="Garamond"/>
          <w:sz w:val="24"/>
          <w:szCs w:val="24"/>
        </w:rPr>
        <w:t>, fermo restando la ricorribilità dello stesso</w:t>
      </w:r>
      <w:r w:rsidR="008D0B8D" w:rsidRPr="008D0B8D">
        <w:rPr>
          <w:rFonts w:ascii="Garamond" w:hAnsi="Garamond"/>
          <w:sz w:val="24"/>
          <w:szCs w:val="24"/>
        </w:rPr>
        <w:t xml:space="preserve"> innanzi ai competenti organi della giustizia amministrativa ai sensi dell'articolo 120 del codice del processo amministrativo. </w:t>
      </w:r>
      <w:r w:rsidR="00925180">
        <w:rPr>
          <w:rFonts w:ascii="Garamond" w:hAnsi="Garamond"/>
          <w:sz w:val="24"/>
          <w:szCs w:val="24"/>
        </w:rPr>
        <w:t>Oggi i margini per l’impugnativa sono ancor più limitati, almeno per l’operatore economico che abbia richiesto il parere (o vi abbia aderito), che può farvi ricorso solo per violazione delle regole di diritto relative al merito della controversia.</w:t>
      </w:r>
      <w:r w:rsidR="009B7458">
        <w:rPr>
          <w:rFonts w:ascii="Garamond" w:hAnsi="Garamond"/>
          <w:sz w:val="24"/>
          <w:szCs w:val="24"/>
        </w:rPr>
        <w:t xml:space="preserve"> In questo modo viene chiaramente rafforzato l’istituto, potendo l’operatore ottenerne l’annullamento in sede giudiziale solo ove sia “erroneo” nella sostanza.</w:t>
      </w:r>
    </w:p>
    <w:p w14:paraId="75D0BCA3" w14:textId="37E736E9" w:rsidR="009B7458" w:rsidRDefault="009B7458" w:rsidP="004A2293">
      <w:pPr>
        <w:jc w:val="both"/>
        <w:rPr>
          <w:rFonts w:ascii="Garamond" w:hAnsi="Garamond"/>
          <w:sz w:val="24"/>
          <w:szCs w:val="24"/>
        </w:rPr>
      </w:pPr>
      <w:r>
        <w:rPr>
          <w:rFonts w:ascii="Garamond" w:hAnsi="Garamond"/>
          <w:sz w:val="24"/>
          <w:szCs w:val="24"/>
        </w:rPr>
        <w:t>Nel caso in cui la stazione appaltante non intenda conformarsi al parere, deve farlo presente per iscritto, rendendone note le motivazioni, alle parti e all’Anac, la quale può impugnare la determinazione negativa.</w:t>
      </w:r>
    </w:p>
    <w:p w14:paraId="37409D49" w14:textId="0586B7E9" w:rsidR="00A7551E" w:rsidRDefault="008D0B8D" w:rsidP="00925180">
      <w:pPr>
        <w:jc w:val="both"/>
        <w:rPr>
          <w:rFonts w:ascii="Garamond" w:hAnsi="Garamond"/>
          <w:sz w:val="24"/>
          <w:szCs w:val="24"/>
        </w:rPr>
      </w:pPr>
      <w:r>
        <w:rPr>
          <w:rFonts w:ascii="Garamond" w:hAnsi="Garamond"/>
          <w:sz w:val="24"/>
          <w:szCs w:val="24"/>
        </w:rPr>
        <w:t xml:space="preserve">Si tratta di uno strumento deflattivo del contenzioso che era stato introdotto sotto il vigore del </w:t>
      </w:r>
      <w:r w:rsidR="00925180">
        <w:rPr>
          <w:rFonts w:ascii="Garamond" w:hAnsi="Garamond"/>
          <w:sz w:val="24"/>
          <w:szCs w:val="24"/>
        </w:rPr>
        <w:t>Codice dei contratti pubblici preesistente al d.lgs. n. 50/2016 (il d.lgs. n. 163/2006)</w:t>
      </w:r>
      <w:r>
        <w:rPr>
          <w:rFonts w:ascii="Garamond" w:hAnsi="Garamond"/>
          <w:sz w:val="24"/>
          <w:szCs w:val="24"/>
        </w:rPr>
        <w:t xml:space="preserve"> che, tuttavia, ha avuto </w:t>
      </w:r>
      <w:r w:rsidR="00925180">
        <w:rPr>
          <w:rFonts w:ascii="Garamond" w:hAnsi="Garamond"/>
          <w:sz w:val="24"/>
          <w:szCs w:val="24"/>
        </w:rPr>
        <w:t>effettiva operatività sotto il vigore dell’art. 211 del d.lgs. n. 50/2016, più che per una vincolatività ex lege per effetto dell’autorevolezza dei pareri resi dall’Autorità.</w:t>
      </w:r>
    </w:p>
    <w:p w14:paraId="44DECA5E" w14:textId="4E687084" w:rsidR="0043030E" w:rsidRPr="002A6123" w:rsidRDefault="00925180" w:rsidP="002A6123">
      <w:pPr>
        <w:jc w:val="both"/>
        <w:rPr>
          <w:rFonts w:ascii="Garamond" w:hAnsi="Garamond"/>
          <w:b/>
          <w:sz w:val="24"/>
          <w:szCs w:val="24"/>
        </w:rPr>
      </w:pPr>
      <w:r>
        <w:rPr>
          <w:rFonts w:ascii="Garamond" w:hAnsi="Garamond"/>
          <w:sz w:val="24"/>
          <w:szCs w:val="24"/>
        </w:rPr>
        <w:t>G</w:t>
      </w:r>
      <w:r w:rsidR="002A6123">
        <w:rPr>
          <w:rFonts w:ascii="Garamond" w:hAnsi="Garamond"/>
          <w:sz w:val="24"/>
          <w:szCs w:val="24"/>
        </w:rPr>
        <w:t>li altri istituti r</w:t>
      </w:r>
      <w:r>
        <w:rPr>
          <w:rFonts w:ascii="Garamond" w:hAnsi="Garamond"/>
          <w:sz w:val="24"/>
          <w:szCs w:val="24"/>
        </w:rPr>
        <w:t>iconducibili al precontenzioso sono il</w:t>
      </w:r>
      <w:r w:rsidR="002A6123">
        <w:rPr>
          <w:rFonts w:ascii="Garamond" w:hAnsi="Garamond"/>
          <w:sz w:val="24"/>
          <w:szCs w:val="24"/>
        </w:rPr>
        <w:t xml:space="preserve"> ricorso diretto e il ricorso previo parere motivato.</w:t>
      </w:r>
      <w:r w:rsidR="002A6123">
        <w:rPr>
          <w:rFonts w:ascii="Garamond" w:hAnsi="Garamond"/>
          <w:b/>
          <w:sz w:val="24"/>
          <w:szCs w:val="24"/>
        </w:rPr>
        <w:t xml:space="preserve"> </w:t>
      </w:r>
      <w:r w:rsidR="0043030E" w:rsidRPr="00737CE5">
        <w:rPr>
          <w:rFonts w:ascii="Garamond" w:eastAsia="Times New Roman" w:hAnsi="Garamond" w:cs="Times New Roman"/>
          <w:sz w:val="24"/>
          <w:szCs w:val="24"/>
          <w:lang w:eastAsia="it-IT"/>
        </w:rPr>
        <w:t>La fonte della legittimazione straordinaria riconosciuta all’Autorità ad impugnare direttamente gli atti di gara è contenuta nel Codice dei contratti pubblici e, precisamente, all’</w:t>
      </w:r>
      <w:r w:rsidRPr="00925180">
        <w:rPr>
          <w:rFonts w:ascii="Garamond" w:eastAsia="Times New Roman" w:hAnsi="Garamond" w:cs="Times New Roman"/>
          <w:b/>
          <w:sz w:val="24"/>
          <w:szCs w:val="24"/>
          <w:lang w:eastAsia="it-IT"/>
        </w:rPr>
        <w:t xml:space="preserve">art. 220, comma 2, d.lgs. n. 36/2023 </w:t>
      </w:r>
      <w:r>
        <w:rPr>
          <w:rFonts w:ascii="Garamond" w:hAnsi="Garamond"/>
          <w:b/>
          <w:sz w:val="24"/>
          <w:szCs w:val="24"/>
        </w:rPr>
        <w:t xml:space="preserve">(corrispondente all’art. 211, </w:t>
      </w:r>
      <w:r w:rsidR="0043030E" w:rsidRPr="00416E3E">
        <w:rPr>
          <w:rFonts w:ascii="Garamond" w:eastAsia="Times New Roman" w:hAnsi="Garamond" w:cs="Times New Roman"/>
          <w:b/>
          <w:sz w:val="24"/>
          <w:szCs w:val="24"/>
          <w:lang w:eastAsia="it-IT"/>
        </w:rPr>
        <w:t>comma 1-</w:t>
      </w:r>
      <w:r w:rsidR="0043030E" w:rsidRPr="00416E3E">
        <w:rPr>
          <w:rFonts w:ascii="Garamond" w:eastAsia="Times New Roman" w:hAnsi="Garamond" w:cs="Times New Roman"/>
          <w:b/>
          <w:i/>
          <w:sz w:val="24"/>
          <w:szCs w:val="24"/>
          <w:lang w:eastAsia="it-IT"/>
        </w:rPr>
        <w:t>b</w:t>
      </w:r>
      <w:r w:rsidR="0043030E" w:rsidRPr="0094250C">
        <w:rPr>
          <w:rFonts w:ascii="Garamond" w:eastAsia="Times New Roman" w:hAnsi="Garamond" w:cs="Times New Roman"/>
          <w:b/>
          <w:i/>
          <w:sz w:val="24"/>
          <w:szCs w:val="24"/>
          <w:lang w:eastAsia="it-IT"/>
        </w:rPr>
        <w:t>is</w:t>
      </w:r>
      <w:r>
        <w:rPr>
          <w:rFonts w:ascii="Garamond" w:eastAsia="Times New Roman" w:hAnsi="Garamond" w:cs="Times New Roman"/>
          <w:b/>
          <w:sz w:val="24"/>
          <w:szCs w:val="24"/>
          <w:lang w:eastAsia="it-IT"/>
        </w:rPr>
        <w:t>)</w:t>
      </w:r>
      <w:r w:rsidR="0043030E" w:rsidRPr="00737CE5">
        <w:rPr>
          <w:rFonts w:ascii="Garamond" w:eastAsia="Times New Roman" w:hAnsi="Garamond" w:cs="Times New Roman"/>
          <w:i/>
          <w:sz w:val="24"/>
          <w:szCs w:val="24"/>
          <w:lang w:eastAsia="it-IT"/>
        </w:rPr>
        <w:t xml:space="preserve"> </w:t>
      </w:r>
      <w:r w:rsidR="0043030E" w:rsidRPr="00737CE5">
        <w:rPr>
          <w:rFonts w:ascii="Garamond" w:eastAsia="Times New Roman" w:hAnsi="Garamond" w:cs="Times New Roman"/>
          <w:sz w:val="24"/>
          <w:szCs w:val="24"/>
          <w:lang w:eastAsia="it-IT"/>
        </w:rPr>
        <w:t xml:space="preserve">che ha riconosciuto alla stessa </w:t>
      </w:r>
      <w:r w:rsidR="0043030E">
        <w:rPr>
          <w:rFonts w:ascii="Garamond" w:eastAsia="Times New Roman" w:hAnsi="Garamond" w:cs="Times New Roman"/>
          <w:sz w:val="24"/>
          <w:szCs w:val="24"/>
          <w:lang w:eastAsia="it-IT"/>
        </w:rPr>
        <w:t>la legittimazione</w:t>
      </w:r>
      <w:r w:rsidR="0043030E" w:rsidRPr="00737CE5">
        <w:rPr>
          <w:rFonts w:ascii="Garamond" w:eastAsia="Times New Roman" w:hAnsi="Garamond" w:cs="Times New Roman"/>
          <w:sz w:val="24"/>
          <w:szCs w:val="24"/>
          <w:lang w:eastAsia="it-IT"/>
        </w:rPr>
        <w:t xml:space="preserve"> </w:t>
      </w:r>
      <w:r w:rsidR="0043030E">
        <w:rPr>
          <w:rFonts w:ascii="Garamond" w:eastAsia="Times New Roman" w:hAnsi="Garamond" w:cs="Times New Roman"/>
          <w:sz w:val="24"/>
          <w:szCs w:val="24"/>
          <w:lang w:eastAsia="it-IT"/>
        </w:rPr>
        <w:t>“</w:t>
      </w:r>
      <w:r w:rsidR="0043030E" w:rsidRPr="00770B5C">
        <w:rPr>
          <w:rFonts w:ascii="Garamond" w:eastAsia="Times New Roman" w:hAnsi="Garamond" w:cs="Times New Roman"/>
          <w:i/>
          <w:sz w:val="24"/>
          <w:szCs w:val="24"/>
          <w:lang w:eastAsia="it-IT"/>
        </w:rPr>
        <w:t xml:space="preserve">ad agire in giudizio per l’impugnazione dei bandi, degli altri atti generali e dei provvedimenti relativi a contratti di rilevante impatto, </w:t>
      </w:r>
      <w:r w:rsidR="0043030E">
        <w:rPr>
          <w:rFonts w:ascii="Garamond" w:eastAsia="Times New Roman" w:hAnsi="Garamond" w:cs="Times New Roman"/>
          <w:i/>
          <w:sz w:val="24"/>
          <w:szCs w:val="24"/>
          <w:lang w:eastAsia="it-IT"/>
        </w:rPr>
        <w:t>emessi da qualsiasi</w:t>
      </w:r>
      <w:r w:rsidR="0043030E" w:rsidRPr="00770B5C">
        <w:rPr>
          <w:rFonts w:ascii="Garamond" w:eastAsia="Times New Roman" w:hAnsi="Garamond" w:cs="Times New Roman"/>
          <w:i/>
          <w:sz w:val="24"/>
          <w:szCs w:val="24"/>
          <w:lang w:eastAsia="it-IT"/>
        </w:rPr>
        <w:t xml:space="preserve"> stazion</w:t>
      </w:r>
      <w:r w:rsidR="0043030E">
        <w:rPr>
          <w:rFonts w:ascii="Garamond" w:eastAsia="Times New Roman" w:hAnsi="Garamond" w:cs="Times New Roman"/>
          <w:i/>
          <w:sz w:val="24"/>
          <w:szCs w:val="24"/>
          <w:lang w:eastAsia="it-IT"/>
        </w:rPr>
        <w:t>e</w:t>
      </w:r>
      <w:r w:rsidR="0043030E" w:rsidRPr="00770B5C">
        <w:rPr>
          <w:rFonts w:ascii="Garamond" w:eastAsia="Times New Roman" w:hAnsi="Garamond" w:cs="Times New Roman"/>
          <w:i/>
          <w:sz w:val="24"/>
          <w:szCs w:val="24"/>
          <w:lang w:eastAsia="it-IT"/>
        </w:rPr>
        <w:t xml:space="preserve"> appaltant</w:t>
      </w:r>
      <w:r w:rsidR="0043030E">
        <w:rPr>
          <w:rFonts w:ascii="Garamond" w:eastAsia="Times New Roman" w:hAnsi="Garamond" w:cs="Times New Roman"/>
          <w:i/>
          <w:sz w:val="24"/>
          <w:szCs w:val="24"/>
          <w:lang w:eastAsia="it-IT"/>
        </w:rPr>
        <w:t>e</w:t>
      </w:r>
      <w:r w:rsidR="0043030E">
        <w:rPr>
          <w:rFonts w:ascii="Garamond" w:eastAsia="Times New Roman" w:hAnsi="Garamond" w:cs="Times New Roman"/>
          <w:sz w:val="24"/>
          <w:szCs w:val="24"/>
          <w:lang w:eastAsia="it-IT"/>
        </w:rPr>
        <w:t>”</w:t>
      </w:r>
      <w:r w:rsidR="0043030E" w:rsidRPr="00737CE5">
        <w:rPr>
          <w:rFonts w:ascii="Garamond" w:eastAsia="Times New Roman" w:hAnsi="Garamond" w:cs="Times New Roman"/>
          <w:sz w:val="24"/>
          <w:szCs w:val="24"/>
          <w:lang w:eastAsia="it-IT"/>
        </w:rPr>
        <w:t>, tutte le volte in cui li ritenga illegittimi e, dunque, in contrasto con le norme in materia di contratti pubblici di lavori, servizi e forniture</w:t>
      </w:r>
      <w:r w:rsidR="0043030E" w:rsidRPr="004F0577">
        <w:rPr>
          <w:rFonts w:ascii="Garamond" w:eastAsia="Times New Roman" w:hAnsi="Garamond" w:cs="Times New Roman"/>
          <w:sz w:val="24"/>
          <w:szCs w:val="24"/>
          <w:lang w:eastAsia="it-IT"/>
        </w:rPr>
        <w:t>.</w:t>
      </w:r>
      <w:r w:rsidR="0043030E" w:rsidRPr="00737CE5">
        <w:rPr>
          <w:rFonts w:ascii="Garamond" w:eastAsia="Times New Roman" w:hAnsi="Garamond" w:cs="Times New Roman"/>
          <w:sz w:val="24"/>
          <w:szCs w:val="24"/>
          <w:lang w:eastAsia="it-IT"/>
        </w:rPr>
        <w:t xml:space="preserve"> Si tratta, dunque, di </w:t>
      </w:r>
      <w:r w:rsidR="0043030E">
        <w:rPr>
          <w:rFonts w:ascii="Garamond" w:eastAsia="Times New Roman" w:hAnsi="Garamond" w:cs="Times New Roman"/>
          <w:sz w:val="24"/>
          <w:szCs w:val="24"/>
          <w:lang w:eastAsia="it-IT"/>
        </w:rPr>
        <w:t xml:space="preserve">un </w:t>
      </w:r>
      <w:r w:rsidR="0043030E" w:rsidRPr="00416E3E">
        <w:rPr>
          <w:rFonts w:ascii="Garamond" w:eastAsia="Times New Roman" w:hAnsi="Garamond" w:cs="Times New Roman"/>
          <w:b/>
          <w:sz w:val="24"/>
          <w:szCs w:val="24"/>
          <w:lang w:eastAsia="it-IT"/>
        </w:rPr>
        <w:t>ricorso diretto</w:t>
      </w:r>
      <w:r w:rsidR="0043030E">
        <w:rPr>
          <w:rFonts w:ascii="Garamond" w:eastAsia="Times New Roman" w:hAnsi="Garamond" w:cs="Times New Roman"/>
          <w:sz w:val="24"/>
          <w:szCs w:val="24"/>
          <w:lang w:eastAsia="it-IT"/>
        </w:rPr>
        <w:t>, non mediato</w:t>
      </w:r>
      <w:r w:rsidR="0043030E" w:rsidRPr="00737CE5">
        <w:rPr>
          <w:rFonts w:ascii="Garamond" w:eastAsia="Times New Roman" w:hAnsi="Garamond" w:cs="Times New Roman"/>
          <w:sz w:val="24"/>
          <w:szCs w:val="24"/>
          <w:lang w:eastAsia="it-IT"/>
        </w:rPr>
        <w:t xml:space="preserve"> da un preventivo parere dell’Anac, da presentare nei termini di legge al giudice amministrativo nei casi e nelle fattispecie individuate dall’Autorità stessa con proprio atto regolamentare.</w:t>
      </w:r>
      <w:r w:rsidR="0043030E">
        <w:rPr>
          <w:rFonts w:ascii="Garamond" w:eastAsia="Times New Roman" w:hAnsi="Garamond" w:cs="Times New Roman"/>
          <w:sz w:val="24"/>
          <w:szCs w:val="24"/>
          <w:lang w:eastAsia="it-IT"/>
        </w:rPr>
        <w:t xml:space="preserve"> </w:t>
      </w:r>
    </w:p>
    <w:p w14:paraId="3206519D" w14:textId="14451494" w:rsidR="0043030E" w:rsidRDefault="0043030E" w:rsidP="0043030E">
      <w:pPr>
        <w:shd w:val="clear" w:color="auto" w:fill="FFFFFF"/>
        <w:spacing w:after="240" w:line="240" w:lineRule="auto"/>
        <w:jc w:val="both"/>
        <w:rPr>
          <w:rFonts w:ascii="Garamond" w:eastAsia="Times New Roman" w:hAnsi="Garamond" w:cs="Times New Roman"/>
          <w:sz w:val="24"/>
          <w:szCs w:val="24"/>
          <w:lang w:eastAsia="it-IT"/>
        </w:rPr>
      </w:pPr>
      <w:r>
        <w:rPr>
          <w:rFonts w:ascii="Garamond" w:eastAsia="Times New Roman" w:hAnsi="Garamond" w:cs="Times New Roman"/>
          <w:sz w:val="24"/>
          <w:szCs w:val="24"/>
          <w:lang w:eastAsia="it-IT"/>
        </w:rPr>
        <w:t xml:space="preserve">Tale strumento si differenzia da quello previsto al comma </w:t>
      </w:r>
      <w:r w:rsidR="00925180">
        <w:rPr>
          <w:rFonts w:ascii="Garamond" w:eastAsia="Times New Roman" w:hAnsi="Garamond" w:cs="Times New Roman"/>
          <w:sz w:val="24"/>
          <w:szCs w:val="24"/>
          <w:lang w:eastAsia="it-IT"/>
        </w:rPr>
        <w:t xml:space="preserve">3 dell’art. 220 (corrispondente al comma </w:t>
      </w:r>
      <w:r>
        <w:rPr>
          <w:rFonts w:ascii="Garamond" w:eastAsia="Times New Roman" w:hAnsi="Garamond" w:cs="Times New Roman"/>
          <w:sz w:val="24"/>
          <w:szCs w:val="24"/>
          <w:lang w:eastAsia="it-IT"/>
        </w:rPr>
        <w:t>1-</w:t>
      </w:r>
      <w:r w:rsidRPr="0080035F">
        <w:rPr>
          <w:rFonts w:ascii="Garamond" w:eastAsia="Times New Roman" w:hAnsi="Garamond" w:cs="Times New Roman"/>
          <w:i/>
          <w:sz w:val="24"/>
          <w:szCs w:val="24"/>
          <w:lang w:eastAsia="it-IT"/>
        </w:rPr>
        <w:t>ter</w:t>
      </w:r>
      <w:r>
        <w:rPr>
          <w:rFonts w:ascii="Garamond" w:eastAsia="Times New Roman" w:hAnsi="Garamond" w:cs="Times New Roman"/>
          <w:sz w:val="24"/>
          <w:szCs w:val="24"/>
          <w:lang w:eastAsia="it-IT"/>
        </w:rPr>
        <w:t xml:space="preserve"> dell’art. 211</w:t>
      </w:r>
      <w:r w:rsidR="00925180">
        <w:rPr>
          <w:rFonts w:ascii="Garamond" w:eastAsia="Times New Roman" w:hAnsi="Garamond" w:cs="Times New Roman"/>
          <w:sz w:val="24"/>
          <w:szCs w:val="24"/>
          <w:lang w:eastAsia="it-IT"/>
        </w:rPr>
        <w:t xml:space="preserve"> del d.lgs. n. 50/2016)</w:t>
      </w:r>
      <w:r>
        <w:rPr>
          <w:rFonts w:ascii="Garamond" w:eastAsia="Times New Roman" w:hAnsi="Garamond" w:cs="Times New Roman"/>
          <w:sz w:val="24"/>
          <w:szCs w:val="24"/>
          <w:lang w:eastAsia="it-IT"/>
        </w:rPr>
        <w:t xml:space="preserve">, relativo al cd. </w:t>
      </w:r>
      <w:r w:rsidRPr="0094250C">
        <w:rPr>
          <w:rFonts w:ascii="Garamond" w:eastAsia="Times New Roman" w:hAnsi="Garamond" w:cs="Times New Roman"/>
          <w:b/>
          <w:sz w:val="24"/>
          <w:szCs w:val="24"/>
          <w:lang w:eastAsia="it-IT"/>
        </w:rPr>
        <w:t>“</w:t>
      </w:r>
      <w:r w:rsidRPr="00416E3E">
        <w:rPr>
          <w:rFonts w:ascii="Garamond" w:eastAsia="Times New Roman" w:hAnsi="Garamond" w:cs="Times New Roman"/>
          <w:b/>
          <w:sz w:val="24"/>
          <w:szCs w:val="24"/>
          <w:lang w:eastAsia="it-IT"/>
        </w:rPr>
        <w:t>ricorso previo parere motivato”</w:t>
      </w:r>
      <w:r>
        <w:rPr>
          <w:rFonts w:ascii="Garamond" w:eastAsia="Times New Roman" w:hAnsi="Garamond" w:cs="Times New Roman"/>
          <w:sz w:val="24"/>
          <w:szCs w:val="24"/>
          <w:lang w:eastAsia="it-IT"/>
        </w:rPr>
        <w:t xml:space="preserve">. In quest’ultimo caso, l’impugnativa dell’Anac è subordinata alla previa emissione di un parere motivato nel quale siano indicati i vizi di legittimità riscontrati: solo se la stazione appaltante a cui è destinato il parere non si conforma entro il termine assegnato, </w:t>
      </w:r>
      <w:r w:rsidR="009B7458">
        <w:rPr>
          <w:rFonts w:ascii="Garamond" w:eastAsia="Times New Roman" w:hAnsi="Garamond" w:cs="Times New Roman"/>
          <w:sz w:val="24"/>
          <w:szCs w:val="24"/>
          <w:lang w:eastAsia="it-IT"/>
        </w:rPr>
        <w:t xml:space="preserve">comunque non superiore a trenta giorni, </w:t>
      </w:r>
      <w:r>
        <w:rPr>
          <w:rFonts w:ascii="Garamond" w:eastAsia="Times New Roman" w:hAnsi="Garamond" w:cs="Times New Roman"/>
          <w:sz w:val="24"/>
          <w:szCs w:val="24"/>
          <w:lang w:eastAsia="it-IT"/>
        </w:rPr>
        <w:t>l’Autorità può presentare ricorso davanti al giudice amministrativo nei successivi trenta giorni.</w:t>
      </w:r>
    </w:p>
    <w:p w14:paraId="1083EF6B" w14:textId="3BA4F952" w:rsidR="006845FB" w:rsidRPr="00277985" w:rsidRDefault="006845FB" w:rsidP="006845FB">
      <w:pPr>
        <w:jc w:val="both"/>
        <w:rPr>
          <w:rFonts w:ascii="Garamond" w:eastAsia="Times New Roman" w:hAnsi="Garamond" w:cs="Times New Roman"/>
          <w:bCs/>
          <w:sz w:val="24"/>
          <w:szCs w:val="24"/>
          <w:lang w:eastAsia="it-IT"/>
        </w:rPr>
      </w:pPr>
      <w:r>
        <w:rPr>
          <w:rFonts w:ascii="Garamond" w:eastAsia="Times New Roman" w:hAnsi="Garamond" w:cs="Times New Roman"/>
          <w:bCs/>
          <w:sz w:val="24"/>
          <w:szCs w:val="24"/>
          <w:lang w:eastAsia="it-IT"/>
        </w:rPr>
        <w:t>Tanto premesso, g</w:t>
      </w:r>
      <w:r w:rsidRPr="00277985">
        <w:rPr>
          <w:rFonts w:ascii="Garamond" w:eastAsia="Times New Roman" w:hAnsi="Garamond" w:cs="Times New Roman"/>
          <w:bCs/>
          <w:sz w:val="24"/>
          <w:szCs w:val="24"/>
          <w:lang w:eastAsia="it-IT"/>
        </w:rPr>
        <w:t>li atti impugnabili sono i medesimi nei due casi e si tratta di regolamenti e atti amministrativi generali (bandi, bandi-tipo, avvisi, atti di programmazione, capitolati, atti di indirizzo e direttive che fissano modalità di partecipazione o condizioni contrattuali) o provvedimenti quali delibere a contrarre, ammissioni, esclusioni o aggiudicazioni; nomine RUP o componenti della commissione giudicatrice; rinnovi taciti, revisione prezzi; varianti, m</w:t>
      </w:r>
      <w:r>
        <w:rPr>
          <w:rFonts w:ascii="Garamond" w:eastAsia="Times New Roman" w:hAnsi="Garamond" w:cs="Times New Roman"/>
          <w:bCs/>
          <w:sz w:val="24"/>
          <w:szCs w:val="24"/>
          <w:lang w:eastAsia="it-IT"/>
        </w:rPr>
        <w:t>odifiche o lavori supplementari.</w:t>
      </w:r>
    </w:p>
    <w:p w14:paraId="3084A920" w14:textId="42A00677" w:rsidR="006845FB" w:rsidRDefault="006845FB" w:rsidP="006845FB">
      <w:pPr>
        <w:jc w:val="both"/>
        <w:rPr>
          <w:rFonts w:ascii="Garamond" w:eastAsia="Times New Roman" w:hAnsi="Garamond" w:cs="Times New Roman"/>
          <w:bCs/>
          <w:sz w:val="24"/>
          <w:szCs w:val="24"/>
          <w:lang w:eastAsia="it-IT"/>
        </w:rPr>
      </w:pPr>
      <w:r w:rsidRPr="00277985">
        <w:rPr>
          <w:rFonts w:ascii="Garamond" w:eastAsia="Times New Roman" w:hAnsi="Garamond" w:cs="Times New Roman"/>
          <w:bCs/>
          <w:sz w:val="24"/>
          <w:szCs w:val="24"/>
          <w:lang w:eastAsia="it-IT"/>
        </w:rPr>
        <w:lastRenderedPageBreak/>
        <w:t xml:space="preserve">I presupposti (o fattispecie legittimanti) e le modalità sono invece diversi a seconda che venga in rilievo il comma </w:t>
      </w:r>
      <w:r>
        <w:rPr>
          <w:rFonts w:ascii="Garamond" w:eastAsia="Times New Roman" w:hAnsi="Garamond" w:cs="Times New Roman"/>
          <w:bCs/>
          <w:sz w:val="24"/>
          <w:szCs w:val="24"/>
          <w:lang w:eastAsia="it-IT"/>
        </w:rPr>
        <w:t>2</w:t>
      </w:r>
      <w:r w:rsidRPr="00277985">
        <w:rPr>
          <w:rFonts w:ascii="Garamond" w:eastAsia="Times New Roman" w:hAnsi="Garamond" w:cs="Times New Roman"/>
          <w:bCs/>
          <w:sz w:val="24"/>
          <w:szCs w:val="24"/>
          <w:lang w:eastAsia="it-IT"/>
        </w:rPr>
        <w:t xml:space="preserve"> o il comma </w:t>
      </w:r>
      <w:r>
        <w:rPr>
          <w:rFonts w:ascii="Garamond" w:eastAsia="Times New Roman" w:hAnsi="Garamond" w:cs="Times New Roman"/>
          <w:bCs/>
          <w:sz w:val="24"/>
          <w:szCs w:val="24"/>
          <w:lang w:eastAsia="it-IT"/>
        </w:rPr>
        <w:t>3</w:t>
      </w:r>
      <w:r w:rsidRPr="00277985">
        <w:rPr>
          <w:rFonts w:ascii="Garamond" w:eastAsia="Times New Roman" w:hAnsi="Garamond" w:cs="Times New Roman"/>
          <w:bCs/>
          <w:sz w:val="24"/>
          <w:szCs w:val="24"/>
          <w:lang w:eastAsia="it-IT"/>
        </w:rPr>
        <w:t>.</w:t>
      </w:r>
    </w:p>
    <w:p w14:paraId="1024E4B7" w14:textId="0C41C85F" w:rsidR="00EA1FF7" w:rsidRPr="00277985" w:rsidRDefault="00EA1FF7" w:rsidP="006845FB">
      <w:pPr>
        <w:jc w:val="both"/>
        <w:rPr>
          <w:rFonts w:ascii="Garamond" w:eastAsia="Times New Roman" w:hAnsi="Garamond" w:cs="Times New Roman"/>
          <w:bCs/>
          <w:sz w:val="24"/>
          <w:szCs w:val="24"/>
          <w:lang w:eastAsia="it-IT"/>
        </w:rPr>
      </w:pPr>
      <w:r>
        <w:rPr>
          <w:rFonts w:ascii="Garamond" w:eastAsia="Times New Roman" w:hAnsi="Garamond" w:cs="Times New Roman"/>
          <w:bCs/>
          <w:sz w:val="24"/>
          <w:szCs w:val="24"/>
          <w:lang w:eastAsia="it-IT"/>
        </w:rPr>
        <w:t>A tal fine, viene in soccorso interpretativo i</w:t>
      </w:r>
      <w:r w:rsidRPr="00277985">
        <w:rPr>
          <w:rFonts w:ascii="Garamond" w:eastAsia="Times New Roman" w:hAnsi="Garamond" w:cs="Times New Roman"/>
          <w:bCs/>
          <w:sz w:val="24"/>
          <w:szCs w:val="24"/>
          <w:lang w:eastAsia="it-IT"/>
        </w:rPr>
        <w:t xml:space="preserve">l </w:t>
      </w:r>
      <w:r w:rsidRPr="00277985">
        <w:rPr>
          <w:rFonts w:ascii="Garamond" w:eastAsia="Times New Roman" w:hAnsi="Garamond" w:cs="Times New Roman"/>
          <w:b/>
          <w:bCs/>
          <w:sz w:val="24"/>
          <w:szCs w:val="24"/>
          <w:lang w:eastAsia="it-IT"/>
        </w:rPr>
        <w:t>Regolamento sull’esercizio dei poteri di cui all’art. 211, commi 1-</w:t>
      </w:r>
      <w:r w:rsidRPr="00277985">
        <w:rPr>
          <w:rFonts w:ascii="Garamond" w:eastAsia="Times New Roman" w:hAnsi="Garamond" w:cs="Times New Roman"/>
          <w:b/>
          <w:bCs/>
          <w:i/>
          <w:sz w:val="24"/>
          <w:szCs w:val="24"/>
          <w:lang w:eastAsia="it-IT"/>
        </w:rPr>
        <w:t>bis</w:t>
      </w:r>
      <w:r w:rsidRPr="00277985">
        <w:rPr>
          <w:rFonts w:ascii="Garamond" w:eastAsia="Times New Roman" w:hAnsi="Garamond" w:cs="Times New Roman"/>
          <w:b/>
          <w:bCs/>
          <w:sz w:val="24"/>
          <w:szCs w:val="24"/>
          <w:lang w:eastAsia="it-IT"/>
        </w:rPr>
        <w:t xml:space="preserve"> e 1-</w:t>
      </w:r>
      <w:r w:rsidRPr="00277985">
        <w:rPr>
          <w:rFonts w:ascii="Garamond" w:eastAsia="Times New Roman" w:hAnsi="Garamond" w:cs="Times New Roman"/>
          <w:b/>
          <w:bCs/>
          <w:i/>
          <w:sz w:val="24"/>
          <w:szCs w:val="24"/>
          <w:lang w:eastAsia="it-IT"/>
        </w:rPr>
        <w:t>ter</w:t>
      </w:r>
      <w:r w:rsidRPr="00277985">
        <w:rPr>
          <w:rFonts w:ascii="Garamond" w:eastAsia="Times New Roman" w:hAnsi="Garamond" w:cs="Times New Roman"/>
          <w:b/>
          <w:bCs/>
          <w:sz w:val="24"/>
          <w:szCs w:val="24"/>
          <w:lang w:eastAsia="it-IT"/>
        </w:rPr>
        <w:t xml:space="preserve"> del d.lgs. n. 50/2016</w:t>
      </w:r>
      <w:r w:rsidRPr="00277985">
        <w:rPr>
          <w:rFonts w:ascii="Garamond" w:eastAsia="Times New Roman" w:hAnsi="Garamond" w:cs="Times New Roman"/>
          <w:bCs/>
          <w:sz w:val="24"/>
          <w:szCs w:val="24"/>
          <w:lang w:eastAsia="it-IT"/>
        </w:rPr>
        <w:t>,</w:t>
      </w:r>
      <w:r>
        <w:rPr>
          <w:rFonts w:ascii="Garamond" w:eastAsia="Times New Roman" w:hAnsi="Garamond" w:cs="Times New Roman"/>
          <w:bCs/>
          <w:sz w:val="24"/>
          <w:szCs w:val="24"/>
          <w:lang w:eastAsia="it-IT"/>
        </w:rPr>
        <w:t xml:space="preserve"> che sarà da aggiornare al nuovo Codice</w:t>
      </w:r>
      <w:r w:rsidR="00F708A8">
        <w:rPr>
          <w:rFonts w:ascii="Garamond" w:eastAsia="Times New Roman" w:hAnsi="Garamond" w:cs="Times New Roman"/>
          <w:bCs/>
          <w:sz w:val="24"/>
          <w:szCs w:val="24"/>
          <w:lang w:eastAsia="it-IT"/>
        </w:rPr>
        <w:t>,</w:t>
      </w:r>
      <w:r w:rsidRPr="00277985">
        <w:rPr>
          <w:rFonts w:ascii="Garamond" w:eastAsia="Times New Roman" w:hAnsi="Garamond" w:cs="Times New Roman"/>
          <w:bCs/>
          <w:sz w:val="24"/>
          <w:szCs w:val="24"/>
          <w:lang w:eastAsia="it-IT"/>
        </w:rPr>
        <w:t xml:space="preserve"> con il fine di disciplinare le condizioni per l’esercizio della legittimazione ad agire in giudizio dell’Anac, individuando gli atti impugnabili, le fattispecie legittimanti il ricorso e le modalità per la proposizione del ricorso. </w:t>
      </w:r>
    </w:p>
    <w:p w14:paraId="6C58EE83" w14:textId="6BC2636B" w:rsidR="006845FB" w:rsidRPr="00277985" w:rsidRDefault="006845FB" w:rsidP="006845FB">
      <w:pPr>
        <w:jc w:val="both"/>
        <w:rPr>
          <w:rFonts w:ascii="Garamond" w:eastAsia="Times New Roman" w:hAnsi="Garamond" w:cs="Times New Roman"/>
          <w:bCs/>
          <w:sz w:val="24"/>
          <w:szCs w:val="24"/>
          <w:lang w:eastAsia="it-IT"/>
        </w:rPr>
      </w:pPr>
      <w:r>
        <w:rPr>
          <w:rFonts w:ascii="Garamond" w:eastAsia="Times New Roman" w:hAnsi="Garamond" w:cs="Times New Roman"/>
          <w:bCs/>
          <w:sz w:val="24"/>
          <w:szCs w:val="24"/>
          <w:lang w:eastAsia="it-IT"/>
        </w:rPr>
        <w:t>Nel caso del comma 2, i suddetti</w:t>
      </w:r>
      <w:r w:rsidRPr="003C790C">
        <w:rPr>
          <w:rFonts w:ascii="Garamond" w:eastAsia="Times New Roman" w:hAnsi="Garamond" w:cs="Times New Roman"/>
          <w:bCs/>
          <w:sz w:val="24"/>
          <w:szCs w:val="24"/>
          <w:lang w:eastAsia="it-IT"/>
        </w:rPr>
        <w:t xml:space="preserve"> atti di gara sono </w:t>
      </w:r>
      <w:r>
        <w:rPr>
          <w:rFonts w:ascii="Garamond" w:eastAsia="Times New Roman" w:hAnsi="Garamond" w:cs="Times New Roman"/>
          <w:bCs/>
          <w:sz w:val="24"/>
          <w:szCs w:val="24"/>
          <w:lang w:eastAsia="it-IT"/>
        </w:rPr>
        <w:t xml:space="preserve">direttamente </w:t>
      </w:r>
      <w:r w:rsidRPr="003C790C">
        <w:rPr>
          <w:rFonts w:ascii="Garamond" w:eastAsia="Times New Roman" w:hAnsi="Garamond" w:cs="Times New Roman"/>
          <w:bCs/>
          <w:sz w:val="24"/>
          <w:szCs w:val="24"/>
          <w:lang w:eastAsia="it-IT"/>
        </w:rPr>
        <w:t xml:space="preserve">impugnabili </w:t>
      </w:r>
      <w:r w:rsidRPr="003C790C">
        <w:rPr>
          <w:rFonts w:ascii="Garamond" w:eastAsia="Times New Roman" w:hAnsi="Garamond" w:cs="Times New Roman"/>
          <w:sz w:val="24"/>
          <w:szCs w:val="24"/>
          <w:lang w:eastAsia="it-IT"/>
        </w:rPr>
        <w:t xml:space="preserve">a condizione che siano relativi a </w:t>
      </w:r>
      <w:r w:rsidRPr="008A29EA">
        <w:rPr>
          <w:rFonts w:ascii="Garamond" w:eastAsia="Times New Roman" w:hAnsi="Garamond" w:cs="Times New Roman"/>
          <w:b/>
          <w:i/>
          <w:sz w:val="24"/>
          <w:szCs w:val="24"/>
          <w:lang w:eastAsia="it-IT"/>
        </w:rPr>
        <w:t>“contratti di rilevante impatto”</w:t>
      </w:r>
      <w:r w:rsidRPr="003C790C">
        <w:rPr>
          <w:rFonts w:ascii="Garamond" w:eastAsia="Times New Roman" w:hAnsi="Garamond" w:cs="Times New Roman"/>
          <w:sz w:val="24"/>
          <w:szCs w:val="24"/>
          <w:lang w:eastAsia="it-IT"/>
        </w:rPr>
        <w:t>.</w:t>
      </w:r>
      <w:r>
        <w:rPr>
          <w:rFonts w:ascii="Garamond" w:eastAsia="Times New Roman" w:hAnsi="Garamond" w:cs="Times New Roman"/>
          <w:sz w:val="24"/>
          <w:szCs w:val="24"/>
          <w:lang w:eastAsia="it-IT"/>
        </w:rPr>
        <w:t xml:space="preserve"> Per l’Anac devono qualificarsi</w:t>
      </w:r>
      <w:r w:rsidRPr="003C790C">
        <w:rPr>
          <w:rFonts w:ascii="Garamond" w:eastAsia="Times New Roman" w:hAnsi="Garamond" w:cs="Times New Roman"/>
          <w:sz w:val="24"/>
          <w:szCs w:val="24"/>
          <w:lang w:eastAsia="it-IT"/>
        </w:rPr>
        <w:t xml:space="preserve"> di </w:t>
      </w:r>
      <w:r w:rsidRPr="008A29EA">
        <w:rPr>
          <w:rFonts w:ascii="Garamond" w:eastAsia="Times New Roman" w:hAnsi="Garamond" w:cs="Times New Roman"/>
          <w:sz w:val="24"/>
          <w:szCs w:val="24"/>
          <w:lang w:eastAsia="it-IT"/>
        </w:rPr>
        <w:t>“</w:t>
      </w:r>
      <w:r w:rsidRPr="008A29EA">
        <w:rPr>
          <w:rFonts w:ascii="Garamond" w:eastAsia="Times New Roman" w:hAnsi="Garamond" w:cs="Times New Roman"/>
          <w:i/>
          <w:sz w:val="24"/>
          <w:szCs w:val="24"/>
          <w:lang w:eastAsia="it-IT"/>
        </w:rPr>
        <w:t>contratti di rilevante impatto”</w:t>
      </w:r>
      <w:r>
        <w:rPr>
          <w:rFonts w:ascii="Garamond" w:eastAsia="Times New Roman" w:hAnsi="Garamond" w:cs="Times New Roman"/>
          <w:sz w:val="24"/>
          <w:szCs w:val="24"/>
          <w:lang w:eastAsia="it-IT"/>
        </w:rPr>
        <w:t xml:space="preserve"> i contratti che: riguardino, anche potenzialmente, un ampio numero di operatori; relativi a grandi eventi (a carattere sportivo, religioso, culturale o a contenuto economico) o a interventi disposti a seguito di calamità naturali o alla realizzazione di grandi infrastrutture strategiche; riconducibili a fattispecie </w:t>
      </w:r>
      <w:r w:rsidRPr="00277985">
        <w:rPr>
          <w:rFonts w:ascii="Garamond" w:eastAsia="Times New Roman" w:hAnsi="Garamond" w:cs="Times New Roman"/>
          <w:bCs/>
          <w:sz w:val="24"/>
          <w:szCs w:val="24"/>
          <w:lang w:eastAsia="it-IT"/>
        </w:rPr>
        <w:t>criminose, situazioni anomale o sintomatiche di condotte illecite da parte della stazione appaltante; relativi a opere, servizi o forniture che hanno un grande impatto su ambiente, paesaggio, beni culturali, territorio, salute, sicurezza pubblica o difesa nazionale; aventi ad oggetto lavori di importo pari o superiore a 15 milioni di euro o servizi e/o forniture di importo pari o superiore a 25 milioni di euro (art. 3, Regolamento ANAC).</w:t>
      </w:r>
    </w:p>
    <w:p w14:paraId="2AC31924" w14:textId="77777777" w:rsidR="006845FB" w:rsidRDefault="006845FB" w:rsidP="006845FB">
      <w:pPr>
        <w:jc w:val="both"/>
        <w:rPr>
          <w:rFonts w:ascii="Garamond" w:eastAsia="Times New Roman" w:hAnsi="Garamond" w:cs="Times New Roman"/>
          <w:bCs/>
          <w:sz w:val="24"/>
          <w:szCs w:val="24"/>
          <w:lang w:eastAsia="it-IT"/>
        </w:rPr>
      </w:pPr>
      <w:r w:rsidRPr="002E2C24">
        <w:rPr>
          <w:rFonts w:ascii="Garamond" w:eastAsia="Times New Roman" w:hAnsi="Garamond" w:cs="Times New Roman"/>
          <w:bCs/>
          <w:sz w:val="24"/>
          <w:szCs w:val="24"/>
          <w:lang w:eastAsia="it-IT"/>
        </w:rPr>
        <w:t>Al ricorrere delle condizioni suddette e, dunque, di un atto impugnabile relativo a un contratto di rilevante impatto, l’Autorità è legittimata ad adire in via diretta il TAR territorialmente competente nel rispetto dei termini di legge. In questo caso, al ricorso occorrerà allegare la delibera del Consiglio, adottata su proposta dell’Ufficio competente, contenente la motivazione sulla sussistenza dei presupposti di legge o, in caso di urgenza, la decisione del Presidente che verrà poi sottoposta al Consiglio per la ratifica.</w:t>
      </w:r>
      <w:r>
        <w:rPr>
          <w:rFonts w:ascii="Garamond" w:eastAsia="Times New Roman" w:hAnsi="Garamond" w:cs="Times New Roman"/>
          <w:bCs/>
          <w:sz w:val="24"/>
          <w:szCs w:val="24"/>
          <w:lang w:eastAsia="it-IT"/>
        </w:rPr>
        <w:t xml:space="preserve"> </w:t>
      </w:r>
      <w:r w:rsidRPr="002E2C24">
        <w:rPr>
          <w:rFonts w:ascii="Garamond" w:eastAsia="Times New Roman" w:hAnsi="Garamond" w:cs="Times New Roman"/>
          <w:bCs/>
          <w:sz w:val="24"/>
          <w:szCs w:val="24"/>
          <w:lang w:eastAsia="it-IT"/>
        </w:rPr>
        <w:t>La proposizione del ricorso, resa nota sul sito dell’Autorità con la pubblicazione della relativa delibera, sospende l’esercizio dei poteri di vigilanza nonché dei procedimenti di precontenzioso preordinati all’emissione</w:t>
      </w:r>
      <w:r>
        <w:rPr>
          <w:rFonts w:ascii="Garamond" w:eastAsia="Times New Roman" w:hAnsi="Garamond" w:cs="Times New Roman"/>
          <w:bCs/>
          <w:sz w:val="24"/>
          <w:szCs w:val="24"/>
          <w:lang w:eastAsia="it-IT"/>
        </w:rPr>
        <w:t xml:space="preserve"> di pareri non vincolanti aventi medesimo oggetto</w:t>
      </w:r>
      <w:r w:rsidRPr="00277985">
        <w:footnoteReference w:id="19"/>
      </w:r>
      <w:r>
        <w:rPr>
          <w:rFonts w:ascii="Garamond" w:eastAsia="Times New Roman" w:hAnsi="Garamond" w:cs="Times New Roman"/>
          <w:bCs/>
          <w:sz w:val="24"/>
          <w:szCs w:val="24"/>
          <w:lang w:eastAsia="it-IT"/>
        </w:rPr>
        <w:t>.</w:t>
      </w:r>
    </w:p>
    <w:p w14:paraId="19A8562B" w14:textId="324E772C" w:rsidR="006845FB" w:rsidRDefault="006845FB" w:rsidP="006845FB">
      <w:pPr>
        <w:jc w:val="both"/>
        <w:rPr>
          <w:rFonts w:ascii="Garamond" w:eastAsia="Times New Roman" w:hAnsi="Garamond" w:cs="Times New Roman"/>
          <w:bCs/>
          <w:sz w:val="24"/>
          <w:szCs w:val="24"/>
          <w:lang w:eastAsia="it-IT"/>
        </w:rPr>
      </w:pPr>
      <w:r>
        <w:rPr>
          <w:rFonts w:ascii="Garamond" w:eastAsia="Times New Roman" w:hAnsi="Garamond" w:cs="Times New Roman"/>
          <w:bCs/>
          <w:sz w:val="24"/>
          <w:szCs w:val="24"/>
          <w:lang w:eastAsia="it-IT"/>
        </w:rPr>
        <w:t xml:space="preserve">Quanto, invece, al comma 3, i presupposti per l’intervento dell’Anac sono le </w:t>
      </w:r>
      <w:r w:rsidRPr="00416E3E">
        <w:rPr>
          <w:rFonts w:ascii="Garamond" w:eastAsia="Times New Roman" w:hAnsi="Garamond" w:cs="Times New Roman"/>
          <w:b/>
          <w:bCs/>
          <w:i/>
          <w:sz w:val="24"/>
          <w:szCs w:val="24"/>
          <w:lang w:eastAsia="it-IT"/>
        </w:rPr>
        <w:t>“gravi violazioni delle</w:t>
      </w:r>
      <w:r>
        <w:rPr>
          <w:rFonts w:ascii="Garamond" w:eastAsia="Times New Roman" w:hAnsi="Garamond" w:cs="Times New Roman"/>
          <w:bCs/>
          <w:sz w:val="24"/>
          <w:szCs w:val="24"/>
          <w:lang w:eastAsia="it-IT"/>
        </w:rPr>
        <w:t xml:space="preserve"> </w:t>
      </w:r>
      <w:r w:rsidRPr="00416E3E">
        <w:rPr>
          <w:rFonts w:ascii="Garamond" w:eastAsia="Times New Roman" w:hAnsi="Garamond" w:cs="Times New Roman"/>
          <w:b/>
          <w:bCs/>
          <w:i/>
          <w:sz w:val="24"/>
          <w:szCs w:val="24"/>
          <w:lang w:eastAsia="it-IT"/>
        </w:rPr>
        <w:t>norme in materia di contratti pubblici”</w:t>
      </w:r>
      <w:r>
        <w:rPr>
          <w:rFonts w:ascii="Garamond" w:eastAsia="Times New Roman" w:hAnsi="Garamond" w:cs="Times New Roman"/>
          <w:bCs/>
          <w:sz w:val="24"/>
          <w:szCs w:val="24"/>
          <w:lang w:eastAsia="it-IT"/>
        </w:rPr>
        <w:t>. Per l’Anac devono qualificarsi “</w:t>
      </w:r>
      <w:r w:rsidRPr="00416E3E">
        <w:rPr>
          <w:rFonts w:ascii="Garamond" w:eastAsia="Times New Roman" w:hAnsi="Garamond" w:cs="Times New Roman"/>
          <w:bCs/>
          <w:i/>
          <w:sz w:val="24"/>
          <w:szCs w:val="24"/>
          <w:lang w:eastAsia="it-IT"/>
        </w:rPr>
        <w:t>gravi violazioni</w:t>
      </w:r>
      <w:r>
        <w:rPr>
          <w:rFonts w:ascii="Garamond" w:eastAsia="Times New Roman" w:hAnsi="Garamond" w:cs="Times New Roman"/>
          <w:bCs/>
          <w:sz w:val="24"/>
          <w:szCs w:val="24"/>
          <w:lang w:eastAsia="it-IT"/>
        </w:rPr>
        <w:t xml:space="preserve">” le seguenti fattispecie: affidamento di contratti pubblici senza previa pubblicazione del bando o dell’avviso; affidamento </w:t>
      </w:r>
      <w:r w:rsidRPr="00416E3E">
        <w:rPr>
          <w:rFonts w:ascii="Garamond" w:eastAsia="Times New Roman" w:hAnsi="Garamond" w:cs="Times New Roman"/>
          <w:bCs/>
          <w:sz w:val="24"/>
          <w:szCs w:val="24"/>
          <w:lang w:eastAsia="it-IT"/>
        </w:rPr>
        <w:t>mediante procedura diversa da quella aperta e ristretta fuori dai casi consentiti, e quando questo abbia determinato l'omissione di bando o avviso ovvero l'irregolare utilizzo dell'avviso di pre-informazione;</w:t>
      </w:r>
      <w:r>
        <w:rPr>
          <w:rFonts w:ascii="Garamond" w:eastAsia="Times New Roman" w:hAnsi="Garamond" w:cs="Times New Roman"/>
          <w:bCs/>
          <w:sz w:val="24"/>
          <w:szCs w:val="24"/>
          <w:lang w:eastAsia="it-IT"/>
        </w:rPr>
        <w:t xml:space="preserve"> </w:t>
      </w:r>
      <w:r w:rsidRPr="00416E3E">
        <w:rPr>
          <w:rFonts w:ascii="Garamond" w:eastAsia="Times New Roman" w:hAnsi="Garamond" w:cs="Times New Roman"/>
          <w:bCs/>
          <w:sz w:val="24"/>
          <w:szCs w:val="24"/>
          <w:lang w:eastAsia="it-IT"/>
        </w:rPr>
        <w:t>atto afferente a rinnovo tacito dei contratti pubblici di lavori, servizi, forniture;</w:t>
      </w:r>
      <w:r>
        <w:rPr>
          <w:rFonts w:ascii="Garamond" w:eastAsia="Times New Roman" w:hAnsi="Garamond" w:cs="Times New Roman"/>
          <w:bCs/>
          <w:sz w:val="24"/>
          <w:szCs w:val="24"/>
          <w:lang w:eastAsia="it-IT"/>
        </w:rPr>
        <w:t xml:space="preserve"> </w:t>
      </w:r>
      <w:r w:rsidRPr="00416E3E">
        <w:rPr>
          <w:rFonts w:ascii="Garamond" w:eastAsia="Times New Roman" w:hAnsi="Garamond" w:cs="Times New Roman"/>
          <w:bCs/>
          <w:sz w:val="24"/>
          <w:szCs w:val="24"/>
          <w:lang w:eastAsia="it-IT"/>
        </w:rPr>
        <w:t>modifica sostanziale del contratto che avrebbe richiesto una nuova gara;</w:t>
      </w:r>
      <w:r>
        <w:rPr>
          <w:rFonts w:ascii="Garamond" w:eastAsia="Times New Roman" w:hAnsi="Garamond" w:cs="Times New Roman"/>
          <w:bCs/>
          <w:sz w:val="24"/>
          <w:szCs w:val="24"/>
          <w:lang w:eastAsia="it-IT"/>
        </w:rPr>
        <w:t xml:space="preserve"> </w:t>
      </w:r>
      <w:r w:rsidRPr="00416E3E">
        <w:rPr>
          <w:rFonts w:ascii="Garamond" w:eastAsia="Times New Roman" w:hAnsi="Garamond" w:cs="Times New Roman"/>
          <w:bCs/>
          <w:sz w:val="24"/>
          <w:szCs w:val="24"/>
          <w:lang w:eastAsia="it-IT"/>
        </w:rPr>
        <w:t>mancata o illegittima esclusione di un concorrente;</w:t>
      </w:r>
      <w:r>
        <w:rPr>
          <w:rFonts w:ascii="Garamond" w:eastAsia="Times New Roman" w:hAnsi="Garamond" w:cs="Times New Roman"/>
          <w:bCs/>
          <w:sz w:val="24"/>
          <w:szCs w:val="24"/>
          <w:lang w:eastAsia="it-IT"/>
        </w:rPr>
        <w:t xml:space="preserve"> </w:t>
      </w:r>
      <w:r w:rsidRPr="00416E3E">
        <w:rPr>
          <w:rFonts w:ascii="Garamond" w:eastAsia="Times New Roman" w:hAnsi="Garamond" w:cs="Times New Roman"/>
          <w:bCs/>
          <w:sz w:val="24"/>
          <w:szCs w:val="24"/>
          <w:lang w:eastAsia="it-IT"/>
        </w:rPr>
        <w:t>contratto affidato in presenza di una grave violazione degli obblighi derivanti dai trattati, come riconosciuto dalla Corte di giustizia dell'UE in un procedimento ai sensi dell'articolo 258 del TFUE;</w:t>
      </w:r>
      <w:r>
        <w:rPr>
          <w:rFonts w:ascii="Garamond" w:eastAsia="Times New Roman" w:hAnsi="Garamond" w:cs="Times New Roman"/>
          <w:bCs/>
          <w:sz w:val="24"/>
          <w:szCs w:val="24"/>
          <w:lang w:eastAsia="it-IT"/>
        </w:rPr>
        <w:t xml:space="preserve"> </w:t>
      </w:r>
      <w:r w:rsidRPr="00416E3E">
        <w:rPr>
          <w:rFonts w:ascii="Garamond" w:eastAsia="Times New Roman" w:hAnsi="Garamond" w:cs="Times New Roman"/>
          <w:bCs/>
          <w:sz w:val="24"/>
          <w:szCs w:val="24"/>
          <w:lang w:eastAsia="it-IT"/>
        </w:rPr>
        <w:t>mancata risoluzione del contratto nei casi di cui all'art</w:t>
      </w:r>
      <w:r>
        <w:rPr>
          <w:rFonts w:ascii="Garamond" w:eastAsia="Times New Roman" w:hAnsi="Garamond" w:cs="Times New Roman"/>
          <w:bCs/>
          <w:sz w:val="24"/>
          <w:szCs w:val="24"/>
          <w:lang w:eastAsia="it-IT"/>
        </w:rPr>
        <w:t>.</w:t>
      </w:r>
      <w:r w:rsidRPr="00416E3E">
        <w:rPr>
          <w:rFonts w:ascii="Garamond" w:eastAsia="Times New Roman" w:hAnsi="Garamond" w:cs="Times New Roman"/>
          <w:bCs/>
          <w:sz w:val="24"/>
          <w:szCs w:val="24"/>
          <w:lang w:eastAsia="it-IT"/>
        </w:rPr>
        <w:t xml:space="preserve"> 108, comma 2 del codice;</w:t>
      </w:r>
      <w:r>
        <w:rPr>
          <w:rFonts w:ascii="Garamond" w:eastAsia="Times New Roman" w:hAnsi="Garamond" w:cs="Times New Roman"/>
          <w:bCs/>
          <w:sz w:val="24"/>
          <w:szCs w:val="24"/>
          <w:lang w:eastAsia="it-IT"/>
        </w:rPr>
        <w:t xml:space="preserve"> </w:t>
      </w:r>
      <w:r w:rsidRPr="00416E3E">
        <w:rPr>
          <w:rFonts w:ascii="Garamond" w:eastAsia="Times New Roman" w:hAnsi="Garamond" w:cs="Times New Roman"/>
          <w:bCs/>
          <w:sz w:val="24"/>
          <w:szCs w:val="24"/>
          <w:lang w:eastAsia="it-IT"/>
        </w:rPr>
        <w:t>bando o altro atto indittivo di procedure ad evidenza pubblica che contenga clausole o misure ingiustificatamente restrittive della partecipazione e, più in generale, della concorrenza</w:t>
      </w:r>
      <w:r>
        <w:rPr>
          <w:rFonts w:ascii="Garamond" w:eastAsia="Times New Roman" w:hAnsi="Garamond" w:cs="Times New Roman"/>
          <w:bCs/>
          <w:sz w:val="24"/>
          <w:szCs w:val="24"/>
          <w:lang w:eastAsia="it-IT"/>
        </w:rPr>
        <w:t xml:space="preserve"> (art. 7, </w:t>
      </w:r>
      <w:r w:rsidRPr="00277985">
        <w:rPr>
          <w:rFonts w:ascii="Garamond" w:eastAsia="Times New Roman" w:hAnsi="Garamond" w:cs="Times New Roman"/>
          <w:bCs/>
          <w:sz w:val="24"/>
          <w:szCs w:val="24"/>
          <w:lang w:eastAsia="it-IT"/>
        </w:rPr>
        <w:t>Regolamento ANAC</w:t>
      </w:r>
      <w:r>
        <w:rPr>
          <w:rFonts w:ascii="Garamond" w:eastAsia="Times New Roman" w:hAnsi="Garamond" w:cs="Times New Roman"/>
          <w:bCs/>
          <w:sz w:val="24"/>
          <w:szCs w:val="24"/>
          <w:lang w:eastAsia="it-IT"/>
        </w:rPr>
        <w:t>)</w:t>
      </w:r>
      <w:r w:rsidRPr="00416E3E">
        <w:rPr>
          <w:rFonts w:ascii="Garamond" w:eastAsia="Times New Roman" w:hAnsi="Garamond" w:cs="Times New Roman"/>
          <w:bCs/>
          <w:sz w:val="24"/>
          <w:szCs w:val="24"/>
          <w:lang w:eastAsia="it-IT"/>
        </w:rPr>
        <w:t>.</w:t>
      </w:r>
    </w:p>
    <w:p w14:paraId="69FE6C29" w14:textId="3D05C851" w:rsidR="006845FB" w:rsidRDefault="006845FB" w:rsidP="006845FB">
      <w:pPr>
        <w:jc w:val="both"/>
        <w:rPr>
          <w:rFonts w:ascii="Garamond" w:eastAsia="Times New Roman" w:hAnsi="Garamond" w:cs="Times New Roman"/>
          <w:bCs/>
          <w:sz w:val="24"/>
          <w:szCs w:val="24"/>
          <w:lang w:eastAsia="it-IT"/>
        </w:rPr>
      </w:pPr>
      <w:r w:rsidRPr="002E2C24">
        <w:rPr>
          <w:rFonts w:ascii="Garamond" w:eastAsia="Times New Roman" w:hAnsi="Garamond" w:cs="Times New Roman"/>
          <w:bCs/>
          <w:sz w:val="24"/>
          <w:szCs w:val="24"/>
          <w:lang w:eastAsia="it-IT"/>
        </w:rPr>
        <w:t>Al ricorrere delle condizioni suddette</w:t>
      </w:r>
      <w:r>
        <w:rPr>
          <w:rFonts w:ascii="Garamond" w:eastAsia="Times New Roman" w:hAnsi="Garamond" w:cs="Times New Roman"/>
          <w:bCs/>
          <w:sz w:val="24"/>
          <w:szCs w:val="24"/>
          <w:lang w:eastAsia="it-IT"/>
        </w:rPr>
        <w:t xml:space="preserve">, l’Anac emette un parere motivato, nel quale sono indicate le violazioni riscontrate e sono indicati i rimedi per superarle. Il parere è trasmesso alla stazione appaltante con l’assegnazione di un termine entro cui conformarsi. Entro tale termine, la stazione appaltante è tenuta ad informare l’Autorità delle azioni intraprese a seguito del parere e, sulla base di questo riscontro (o dell’inerzia, in caso di mancato riscontro) della stazione appaltante, il Consiglio dell’Autorità decide se </w:t>
      </w:r>
      <w:r>
        <w:rPr>
          <w:rFonts w:ascii="Garamond" w:eastAsia="Times New Roman" w:hAnsi="Garamond" w:cs="Times New Roman"/>
          <w:bCs/>
          <w:sz w:val="24"/>
          <w:szCs w:val="24"/>
          <w:lang w:eastAsia="it-IT"/>
        </w:rPr>
        <w:lastRenderedPageBreak/>
        <w:t>proporre o meno ricorso avverso l’atto illegittimo. Il ricorso è proposto entro trenta giorni dalla risposta della stazione appaltante o, nel caso di mancata risposta, entro trenta giorni dalla scadenza del termine assegnato dall’Anac alla stessa nel parere</w:t>
      </w:r>
      <w:r w:rsidR="003B005C">
        <w:rPr>
          <w:rStyle w:val="Rimandonotaapidipagina"/>
          <w:rFonts w:ascii="Garamond" w:eastAsia="Times New Roman" w:hAnsi="Garamond" w:cs="Times New Roman"/>
          <w:bCs/>
          <w:sz w:val="24"/>
          <w:szCs w:val="24"/>
          <w:lang w:eastAsia="it-IT"/>
        </w:rPr>
        <w:footnoteReference w:id="20"/>
      </w:r>
      <w:r>
        <w:rPr>
          <w:rFonts w:ascii="Garamond" w:eastAsia="Times New Roman" w:hAnsi="Garamond" w:cs="Times New Roman"/>
          <w:bCs/>
          <w:sz w:val="24"/>
          <w:szCs w:val="24"/>
          <w:lang w:eastAsia="it-IT"/>
        </w:rPr>
        <w:t>.</w:t>
      </w:r>
    </w:p>
    <w:p w14:paraId="1A58C059" w14:textId="6DBC64EA" w:rsidR="001B3268" w:rsidRDefault="006845FB" w:rsidP="00277985">
      <w:pPr>
        <w:jc w:val="both"/>
        <w:rPr>
          <w:rFonts w:ascii="Garamond" w:eastAsia="Times New Roman" w:hAnsi="Garamond" w:cs="Times New Roman"/>
          <w:bCs/>
          <w:sz w:val="24"/>
          <w:szCs w:val="24"/>
          <w:lang w:eastAsia="it-IT"/>
        </w:rPr>
      </w:pPr>
      <w:r>
        <w:rPr>
          <w:rFonts w:ascii="Garamond" w:eastAsia="Times New Roman" w:hAnsi="Garamond" w:cs="Times New Roman"/>
          <w:bCs/>
          <w:sz w:val="24"/>
          <w:szCs w:val="24"/>
          <w:lang w:eastAsia="it-IT"/>
        </w:rPr>
        <w:t>Alla luce delle modifiche apportate dal nuovo Codice sarà da aggiornare i</w:t>
      </w:r>
      <w:r w:rsidR="0043030E" w:rsidRPr="00277985">
        <w:rPr>
          <w:rFonts w:ascii="Garamond" w:eastAsia="Times New Roman" w:hAnsi="Garamond" w:cs="Times New Roman"/>
          <w:bCs/>
          <w:sz w:val="24"/>
          <w:szCs w:val="24"/>
          <w:lang w:eastAsia="it-IT"/>
        </w:rPr>
        <w:t xml:space="preserve">l </w:t>
      </w:r>
      <w:r w:rsidR="0043030E" w:rsidRPr="00277985">
        <w:rPr>
          <w:rFonts w:ascii="Garamond" w:eastAsia="Times New Roman" w:hAnsi="Garamond" w:cs="Times New Roman"/>
          <w:b/>
          <w:bCs/>
          <w:sz w:val="24"/>
          <w:szCs w:val="24"/>
          <w:lang w:eastAsia="it-IT"/>
        </w:rPr>
        <w:t>Regolamento sull’esercizio dei poteri di cui all’art. 211, commi 1-</w:t>
      </w:r>
      <w:r w:rsidR="0043030E" w:rsidRPr="00277985">
        <w:rPr>
          <w:rFonts w:ascii="Garamond" w:eastAsia="Times New Roman" w:hAnsi="Garamond" w:cs="Times New Roman"/>
          <w:b/>
          <w:bCs/>
          <w:i/>
          <w:sz w:val="24"/>
          <w:szCs w:val="24"/>
          <w:lang w:eastAsia="it-IT"/>
        </w:rPr>
        <w:t>bis</w:t>
      </w:r>
      <w:r w:rsidR="0043030E" w:rsidRPr="00277985">
        <w:rPr>
          <w:rFonts w:ascii="Garamond" w:eastAsia="Times New Roman" w:hAnsi="Garamond" w:cs="Times New Roman"/>
          <w:b/>
          <w:bCs/>
          <w:sz w:val="24"/>
          <w:szCs w:val="24"/>
          <w:lang w:eastAsia="it-IT"/>
        </w:rPr>
        <w:t xml:space="preserve"> e 1-</w:t>
      </w:r>
      <w:r w:rsidR="0043030E" w:rsidRPr="00277985">
        <w:rPr>
          <w:rFonts w:ascii="Garamond" w:eastAsia="Times New Roman" w:hAnsi="Garamond" w:cs="Times New Roman"/>
          <w:b/>
          <w:bCs/>
          <w:i/>
          <w:sz w:val="24"/>
          <w:szCs w:val="24"/>
          <w:lang w:eastAsia="it-IT"/>
        </w:rPr>
        <w:t>ter</w:t>
      </w:r>
      <w:r w:rsidR="0043030E" w:rsidRPr="00277985">
        <w:rPr>
          <w:rFonts w:ascii="Garamond" w:eastAsia="Times New Roman" w:hAnsi="Garamond" w:cs="Times New Roman"/>
          <w:b/>
          <w:bCs/>
          <w:sz w:val="24"/>
          <w:szCs w:val="24"/>
          <w:lang w:eastAsia="it-IT"/>
        </w:rPr>
        <w:t xml:space="preserve"> del d.lgs. n. 50/2016</w:t>
      </w:r>
      <w:r w:rsidR="0043030E" w:rsidRPr="00277985">
        <w:rPr>
          <w:rFonts w:ascii="Garamond" w:eastAsia="Times New Roman" w:hAnsi="Garamond" w:cs="Times New Roman"/>
          <w:bCs/>
          <w:sz w:val="24"/>
          <w:szCs w:val="24"/>
          <w:lang w:eastAsia="it-IT"/>
        </w:rPr>
        <w:t xml:space="preserve"> adottato</w:t>
      </w:r>
      <w:r w:rsidR="001B3268" w:rsidRPr="00277985">
        <w:rPr>
          <w:rFonts w:ascii="Garamond" w:eastAsia="Times New Roman" w:hAnsi="Garamond" w:cs="Times New Roman"/>
          <w:bCs/>
          <w:sz w:val="24"/>
          <w:szCs w:val="24"/>
          <w:lang w:eastAsia="it-IT"/>
        </w:rPr>
        <w:t xml:space="preserve"> dall’Anac</w:t>
      </w:r>
      <w:r w:rsidR="0043030E" w:rsidRPr="00277985">
        <w:rPr>
          <w:rFonts w:ascii="Garamond" w:eastAsia="Times New Roman" w:hAnsi="Garamond" w:cs="Times New Roman"/>
          <w:bCs/>
          <w:sz w:val="24"/>
          <w:szCs w:val="24"/>
          <w:lang w:eastAsia="it-IT"/>
        </w:rPr>
        <w:t xml:space="preserve"> all’esito di una procedura di consultazione pubblica</w:t>
      </w:r>
      <w:r w:rsidR="001B3268" w:rsidRPr="00277985">
        <w:rPr>
          <w:rFonts w:ascii="Garamond" w:eastAsia="Times New Roman" w:hAnsi="Garamond" w:cs="Times New Roman"/>
          <w:bCs/>
          <w:sz w:val="24"/>
          <w:szCs w:val="24"/>
          <w:lang w:eastAsia="it-IT"/>
        </w:rPr>
        <w:t>, con il fine di d</w:t>
      </w:r>
      <w:r w:rsidR="0043030E" w:rsidRPr="00277985">
        <w:rPr>
          <w:rFonts w:ascii="Garamond" w:eastAsia="Times New Roman" w:hAnsi="Garamond" w:cs="Times New Roman"/>
          <w:bCs/>
          <w:sz w:val="24"/>
          <w:szCs w:val="24"/>
          <w:lang w:eastAsia="it-IT"/>
        </w:rPr>
        <w:t>isciplina</w:t>
      </w:r>
      <w:r w:rsidR="001B3268" w:rsidRPr="00277985">
        <w:rPr>
          <w:rFonts w:ascii="Garamond" w:eastAsia="Times New Roman" w:hAnsi="Garamond" w:cs="Times New Roman"/>
          <w:bCs/>
          <w:sz w:val="24"/>
          <w:szCs w:val="24"/>
          <w:lang w:eastAsia="it-IT"/>
        </w:rPr>
        <w:t>re</w:t>
      </w:r>
      <w:r w:rsidR="0043030E" w:rsidRPr="00277985">
        <w:rPr>
          <w:rFonts w:ascii="Garamond" w:eastAsia="Times New Roman" w:hAnsi="Garamond" w:cs="Times New Roman"/>
          <w:bCs/>
          <w:sz w:val="24"/>
          <w:szCs w:val="24"/>
          <w:lang w:eastAsia="it-IT"/>
        </w:rPr>
        <w:t xml:space="preserve"> le condizioni per l’esercizio della legittimazione ad agire in giudizio dell’Anac, individuando gli atti impugnabili, le fattispecie legittimanti il ricorso e le modalità per la proposizione del ricorso. </w:t>
      </w:r>
    </w:p>
    <w:p w14:paraId="675BBFF4" w14:textId="77777777" w:rsidR="006845FB" w:rsidRDefault="006845FB" w:rsidP="006845FB">
      <w:pPr>
        <w:shd w:val="clear" w:color="auto" w:fill="FFFFFF"/>
        <w:spacing w:after="240" w:line="240" w:lineRule="auto"/>
        <w:jc w:val="both"/>
        <w:rPr>
          <w:rFonts w:ascii="Garamond" w:eastAsia="Times New Roman" w:hAnsi="Garamond" w:cs="Times New Roman"/>
          <w:sz w:val="24"/>
          <w:szCs w:val="24"/>
          <w:lang w:eastAsia="it-IT"/>
        </w:rPr>
      </w:pPr>
      <w:r>
        <w:rPr>
          <w:rFonts w:ascii="Garamond" w:eastAsia="Times New Roman" w:hAnsi="Garamond" w:cs="Times New Roman"/>
          <w:sz w:val="24"/>
          <w:szCs w:val="24"/>
          <w:lang w:eastAsia="it-IT"/>
        </w:rPr>
        <w:t>In entrambi i casi, l</w:t>
      </w:r>
      <w:r w:rsidRPr="00224761">
        <w:rPr>
          <w:rFonts w:ascii="Garamond" w:eastAsia="Times New Roman" w:hAnsi="Garamond" w:cs="Times New Roman"/>
          <w:sz w:val="24"/>
          <w:szCs w:val="24"/>
          <w:lang w:eastAsia="it-IT"/>
        </w:rPr>
        <w:t xml:space="preserve">a </w:t>
      </w:r>
      <w:r w:rsidRPr="00224761">
        <w:rPr>
          <w:rFonts w:ascii="Garamond" w:eastAsia="Times New Roman" w:hAnsi="Garamond" w:cs="Times New Roman"/>
          <w:i/>
          <w:sz w:val="24"/>
          <w:szCs w:val="24"/>
          <w:lang w:eastAsia="it-IT"/>
        </w:rPr>
        <w:t>ratio</w:t>
      </w:r>
      <w:r>
        <w:rPr>
          <w:rFonts w:ascii="Garamond" w:eastAsia="Times New Roman" w:hAnsi="Garamond" w:cs="Times New Roman"/>
          <w:sz w:val="24"/>
          <w:szCs w:val="24"/>
          <w:lang w:eastAsia="it-IT"/>
        </w:rPr>
        <w:t xml:space="preserve"> di tale legittimazione, senza o con previo parere, deve farsi discendere, come chiarito dal Consiglio di Stato, dalla funzione di </w:t>
      </w:r>
      <w:r w:rsidRPr="00224761">
        <w:rPr>
          <w:rFonts w:ascii="Garamond" w:eastAsia="Times New Roman" w:hAnsi="Garamond" w:cs="Times New Roman"/>
          <w:sz w:val="24"/>
          <w:szCs w:val="24"/>
          <w:lang w:eastAsia="it-IT"/>
        </w:rPr>
        <w:t>vigilanza e c</w:t>
      </w:r>
      <w:r>
        <w:rPr>
          <w:rFonts w:ascii="Garamond" w:eastAsia="Times New Roman" w:hAnsi="Garamond" w:cs="Times New Roman"/>
          <w:sz w:val="24"/>
          <w:szCs w:val="24"/>
          <w:lang w:eastAsia="it-IT"/>
        </w:rPr>
        <w:t>ontrollo sugli appalti pubblici che le è assegnata dalla l</w:t>
      </w:r>
      <w:r w:rsidRPr="00224761">
        <w:rPr>
          <w:rFonts w:ascii="Garamond" w:eastAsia="Times New Roman" w:hAnsi="Garamond" w:cs="Times New Roman"/>
          <w:sz w:val="24"/>
          <w:szCs w:val="24"/>
          <w:lang w:eastAsia="it-IT"/>
        </w:rPr>
        <w:t>egge (Consiglio di Stato, Commissione speciale del 4 aprile 2018, parere n. 1119</w:t>
      </w:r>
      <w:r>
        <w:rPr>
          <w:rFonts w:ascii="Garamond" w:eastAsia="Times New Roman" w:hAnsi="Garamond" w:cs="Times New Roman"/>
          <w:sz w:val="24"/>
          <w:szCs w:val="24"/>
          <w:lang w:eastAsia="it-IT"/>
        </w:rPr>
        <w:t xml:space="preserve"> </w:t>
      </w:r>
      <w:r w:rsidRPr="00224761">
        <w:rPr>
          <w:rFonts w:ascii="Garamond" w:eastAsia="Times New Roman" w:hAnsi="Garamond" w:cs="Times New Roman"/>
          <w:sz w:val="24"/>
          <w:szCs w:val="24"/>
          <w:lang w:eastAsia="it-IT"/>
        </w:rPr>
        <w:t>del 26 aprile 2018).</w:t>
      </w:r>
    </w:p>
    <w:p w14:paraId="45DFD1AD" w14:textId="77777777" w:rsidR="006845FB" w:rsidRPr="00277985" w:rsidRDefault="006845FB" w:rsidP="006845FB">
      <w:pPr>
        <w:jc w:val="both"/>
        <w:rPr>
          <w:rFonts w:ascii="Garamond" w:eastAsia="Times New Roman" w:hAnsi="Garamond" w:cs="Times New Roman"/>
          <w:bCs/>
          <w:sz w:val="24"/>
          <w:szCs w:val="24"/>
          <w:lang w:eastAsia="it-IT"/>
        </w:rPr>
      </w:pPr>
      <w:r w:rsidRPr="00277985">
        <w:rPr>
          <w:rFonts w:ascii="Garamond" w:eastAsia="Times New Roman" w:hAnsi="Garamond" w:cs="Times New Roman"/>
          <w:bCs/>
          <w:sz w:val="24"/>
          <w:szCs w:val="24"/>
          <w:lang w:eastAsia="it-IT"/>
        </w:rPr>
        <w:t xml:space="preserve">Con specifico riguardo al comma </w:t>
      </w:r>
      <w:r>
        <w:rPr>
          <w:rFonts w:ascii="Garamond" w:eastAsia="Times New Roman" w:hAnsi="Garamond" w:cs="Times New Roman"/>
          <w:bCs/>
          <w:sz w:val="24"/>
          <w:szCs w:val="24"/>
          <w:lang w:eastAsia="it-IT"/>
        </w:rPr>
        <w:t>2</w:t>
      </w:r>
      <w:r w:rsidRPr="00277985">
        <w:rPr>
          <w:rFonts w:ascii="Garamond" w:eastAsia="Times New Roman" w:hAnsi="Garamond" w:cs="Times New Roman"/>
          <w:bCs/>
          <w:sz w:val="24"/>
          <w:szCs w:val="24"/>
          <w:lang w:eastAsia="it-IT"/>
        </w:rPr>
        <w:t xml:space="preserve"> e dunque al ricorso diretto dell’Anac, tale strumento non è del tutto nuovo nel nostro ordinamento, trovando un importante precedente nell’art. 21-bis, comma 2, della l. 10 ottobre 1990, n. 287 che ha riconosciuto in capo all’Autorità garante della concorrenza e del mercato (Agcm) il potere di impugnare, previo parere nel quale siano indicate le violazioni riscontrate, gli atti amministrativi (atti amministrativi generali, regolamenti e provvedimenti di qualsiasi amministrazione pubblica) ritenuti illegittimi e lesivi delle norme a tutela della concorrenza</w:t>
      </w:r>
      <w:r w:rsidRPr="003B005C">
        <w:rPr>
          <w:rFonts w:ascii="Garamond" w:eastAsia="Times New Roman" w:hAnsi="Garamond" w:cs="Times New Roman"/>
          <w:bCs/>
          <w:sz w:val="24"/>
          <w:szCs w:val="24"/>
          <w:vertAlign w:val="superscript"/>
          <w:lang w:eastAsia="it-IT"/>
        </w:rPr>
        <w:footnoteReference w:id="21"/>
      </w:r>
      <w:r w:rsidRPr="00277985">
        <w:rPr>
          <w:rFonts w:ascii="Garamond" w:eastAsia="Times New Roman" w:hAnsi="Garamond" w:cs="Times New Roman"/>
          <w:bCs/>
          <w:sz w:val="24"/>
          <w:szCs w:val="24"/>
          <w:lang w:eastAsia="it-IT"/>
        </w:rPr>
        <w:t>.</w:t>
      </w:r>
    </w:p>
    <w:p w14:paraId="6F78613D" w14:textId="19A6B18B" w:rsidR="006845FB" w:rsidRPr="00277985" w:rsidRDefault="006845FB" w:rsidP="00277985">
      <w:pPr>
        <w:jc w:val="both"/>
        <w:rPr>
          <w:rFonts w:ascii="Garamond" w:eastAsia="Times New Roman" w:hAnsi="Garamond" w:cs="Times New Roman"/>
          <w:bCs/>
          <w:sz w:val="24"/>
          <w:szCs w:val="24"/>
          <w:lang w:eastAsia="it-IT"/>
        </w:rPr>
      </w:pPr>
      <w:r w:rsidRPr="00277985">
        <w:rPr>
          <w:rFonts w:ascii="Garamond" w:eastAsia="Times New Roman" w:hAnsi="Garamond" w:cs="Times New Roman"/>
          <w:bCs/>
          <w:sz w:val="24"/>
          <w:szCs w:val="24"/>
          <w:lang w:eastAsia="it-IT"/>
        </w:rPr>
        <w:t>A ben vedere, per quanto quello dell’Antitrust sia l’esempio più affine, non si tratta dell’unico caso di legittimazione processuale riconosciuta ex lege a determinati soggetti pubblici: si pensi, per esempio, alla facoltà attribuita alla Banca d'Italia di agire contro certe delibere delle banche (art. 24, d.lgs. 1° settembre 1993, n. 385), oppure all'impugnazione, da parte del Ministero dell'istruzione, dell'università e della ricerca (MIUR) degli statuti e dei regolamenti delle università, ai sensi dell'art. 6 della </w:t>
      </w:r>
      <w:hyperlink r:id="rId13" w:anchor="id=10LX0000114792ART0,__m=document" w:history="1">
        <w:r w:rsidRPr="00277985">
          <w:rPr>
            <w:rFonts w:ascii="Garamond" w:eastAsia="Times New Roman" w:hAnsi="Garamond" w:cs="Times New Roman"/>
            <w:bCs/>
            <w:sz w:val="24"/>
            <w:szCs w:val="24"/>
            <w:lang w:eastAsia="it-IT"/>
          </w:rPr>
          <w:t>l. 9 maggio 1989, n. 168</w:t>
        </w:r>
      </w:hyperlink>
      <w:r w:rsidRPr="00277985">
        <w:rPr>
          <w:rFonts w:ascii="Garamond" w:eastAsia="Times New Roman" w:hAnsi="Garamond" w:cs="Times New Roman"/>
          <w:bCs/>
          <w:sz w:val="24"/>
          <w:szCs w:val="24"/>
          <w:lang w:eastAsia="it-IT"/>
        </w:rPr>
        <w:t> e dell'art. 2, comma 7, L. 20 dicembre 2010, n. 240. Nello stesso senso si pone la norma che attribuisce all'Autorità di regolazione dei trasporti (ART) un potere di ricorso dinnanzi al giudice amministrativo, in materia di provvedimenti concernenti il rilascio di licenze taxi (art. </w:t>
      </w:r>
      <w:hyperlink r:id="rId14" w:anchor="id=10LX0000761503ART91,__m=document" w:history="1">
        <w:r w:rsidRPr="00277985">
          <w:rPr>
            <w:rFonts w:ascii="Garamond" w:eastAsia="Times New Roman" w:hAnsi="Garamond" w:cs="Times New Roman"/>
            <w:bCs/>
            <w:sz w:val="24"/>
            <w:szCs w:val="24"/>
            <w:lang w:eastAsia="it-IT"/>
          </w:rPr>
          <w:t>37, comma 2, lett. n)</w:t>
        </w:r>
      </w:hyperlink>
      <w:r w:rsidRPr="00277985">
        <w:rPr>
          <w:rFonts w:ascii="Garamond" w:eastAsia="Times New Roman" w:hAnsi="Garamond" w:cs="Times New Roman"/>
          <w:bCs/>
          <w:sz w:val="24"/>
          <w:szCs w:val="24"/>
          <w:lang w:eastAsia="it-IT"/>
        </w:rPr>
        <w:t>, d.l. 6 dicembre 2011, n. 201)</w:t>
      </w:r>
      <w:r>
        <w:rPr>
          <w:rStyle w:val="Rimandonotaapidipagina"/>
          <w:rFonts w:ascii="Garamond" w:eastAsia="Times New Roman" w:hAnsi="Garamond" w:cs="Times New Roman"/>
          <w:bCs/>
          <w:sz w:val="24"/>
          <w:szCs w:val="24"/>
          <w:lang w:eastAsia="it-IT"/>
        </w:rPr>
        <w:footnoteReference w:id="22"/>
      </w:r>
      <w:r>
        <w:rPr>
          <w:rFonts w:ascii="Garamond" w:eastAsia="Times New Roman" w:hAnsi="Garamond" w:cs="Times New Roman"/>
          <w:bCs/>
          <w:sz w:val="24"/>
          <w:szCs w:val="24"/>
          <w:lang w:eastAsia="it-IT"/>
        </w:rPr>
        <w:t>.</w:t>
      </w:r>
    </w:p>
    <w:p w14:paraId="153B5C6E" w14:textId="02F40785" w:rsidR="00852045" w:rsidRPr="00C928E3" w:rsidRDefault="00852045" w:rsidP="0043030E">
      <w:pPr>
        <w:shd w:val="clear" w:color="auto" w:fill="FFFFFF"/>
        <w:spacing w:after="240" w:line="240" w:lineRule="auto"/>
        <w:jc w:val="both"/>
        <w:rPr>
          <w:rFonts w:ascii="Garamond" w:eastAsia="Times New Roman" w:hAnsi="Garamond" w:cs="Times New Roman"/>
          <w:b/>
          <w:i/>
          <w:iCs/>
          <w:sz w:val="24"/>
          <w:szCs w:val="24"/>
          <w:lang w:eastAsia="it-IT"/>
        </w:rPr>
      </w:pPr>
      <w:r w:rsidRPr="00C928E3">
        <w:rPr>
          <w:rFonts w:ascii="Garamond" w:eastAsia="Times New Roman" w:hAnsi="Garamond" w:cs="Times New Roman"/>
          <w:b/>
          <w:sz w:val="24"/>
          <w:szCs w:val="24"/>
          <w:lang w:eastAsia="it-IT"/>
        </w:rPr>
        <w:t xml:space="preserve">6. </w:t>
      </w:r>
      <w:r w:rsidRPr="00C928E3">
        <w:rPr>
          <w:rFonts w:ascii="Garamond" w:eastAsia="Times New Roman" w:hAnsi="Garamond" w:cs="Times New Roman"/>
          <w:b/>
          <w:i/>
          <w:sz w:val="24"/>
          <w:szCs w:val="24"/>
          <w:lang w:eastAsia="it-IT"/>
        </w:rPr>
        <w:t>(segue)</w:t>
      </w:r>
      <w:r w:rsidRPr="00C928E3">
        <w:rPr>
          <w:rFonts w:ascii="Garamond" w:eastAsia="Times New Roman" w:hAnsi="Garamond" w:cs="Times New Roman"/>
          <w:b/>
          <w:sz w:val="24"/>
          <w:szCs w:val="24"/>
          <w:lang w:eastAsia="it-IT"/>
        </w:rPr>
        <w:t xml:space="preserve"> Il </w:t>
      </w:r>
      <w:r w:rsidRPr="00C928E3">
        <w:rPr>
          <w:rFonts w:ascii="Garamond" w:eastAsia="Times New Roman" w:hAnsi="Garamond" w:cs="Times New Roman"/>
          <w:b/>
          <w:i/>
          <w:iCs/>
          <w:sz w:val="24"/>
          <w:szCs w:val="24"/>
          <w:lang w:eastAsia="it-IT"/>
        </w:rPr>
        <w:t>whistleblowing</w:t>
      </w:r>
    </w:p>
    <w:p w14:paraId="3C4361BF" w14:textId="142C512A" w:rsidR="00745C31" w:rsidRDefault="00852045" w:rsidP="00277985">
      <w:pPr>
        <w:jc w:val="both"/>
        <w:rPr>
          <w:rFonts w:ascii="Garamond" w:eastAsia="Times New Roman" w:hAnsi="Garamond" w:cs="Times New Roman"/>
          <w:bCs/>
          <w:sz w:val="24"/>
          <w:szCs w:val="24"/>
          <w:lang w:eastAsia="it-IT"/>
        </w:rPr>
      </w:pPr>
      <w:r w:rsidRPr="00852045">
        <w:rPr>
          <w:rFonts w:ascii="Garamond" w:eastAsia="Times New Roman" w:hAnsi="Garamond" w:cs="Times New Roman"/>
          <w:bCs/>
          <w:sz w:val="24"/>
          <w:szCs w:val="24"/>
          <w:lang w:eastAsia="it-IT"/>
        </w:rPr>
        <w:lastRenderedPageBreak/>
        <w:t>A conclusio</w:t>
      </w:r>
      <w:r>
        <w:rPr>
          <w:rFonts w:ascii="Garamond" w:eastAsia="Times New Roman" w:hAnsi="Garamond" w:cs="Times New Roman"/>
          <w:bCs/>
          <w:sz w:val="24"/>
          <w:szCs w:val="24"/>
          <w:lang w:eastAsia="it-IT"/>
        </w:rPr>
        <w:t xml:space="preserve">ne </w:t>
      </w:r>
      <w:r w:rsidRPr="00852045">
        <w:rPr>
          <w:rFonts w:ascii="Garamond" w:eastAsia="Times New Roman" w:hAnsi="Garamond" w:cs="Times New Roman"/>
          <w:bCs/>
          <w:sz w:val="24"/>
          <w:szCs w:val="24"/>
          <w:lang w:eastAsia="it-IT"/>
        </w:rPr>
        <w:t>della rassegna s</w:t>
      </w:r>
      <w:r>
        <w:rPr>
          <w:rFonts w:ascii="Garamond" w:eastAsia="Times New Roman" w:hAnsi="Garamond" w:cs="Times New Roman"/>
          <w:bCs/>
          <w:sz w:val="24"/>
          <w:szCs w:val="24"/>
          <w:lang w:eastAsia="it-IT"/>
        </w:rPr>
        <w:t>in qui svolta</w:t>
      </w:r>
      <w:r w:rsidR="00B65EB4">
        <w:rPr>
          <w:rFonts w:ascii="Garamond" w:eastAsia="Times New Roman" w:hAnsi="Garamond" w:cs="Times New Roman"/>
          <w:bCs/>
          <w:sz w:val="24"/>
          <w:szCs w:val="24"/>
          <w:lang w:eastAsia="it-IT"/>
        </w:rPr>
        <w:t>,</w:t>
      </w:r>
      <w:r>
        <w:rPr>
          <w:rFonts w:ascii="Garamond" w:eastAsia="Times New Roman" w:hAnsi="Garamond" w:cs="Times New Roman"/>
          <w:bCs/>
          <w:sz w:val="24"/>
          <w:szCs w:val="24"/>
          <w:lang w:eastAsia="it-IT"/>
        </w:rPr>
        <w:t xml:space="preserve"> merita brevi cenni la disciplina del </w:t>
      </w:r>
      <w:r w:rsidR="009D20FE">
        <w:rPr>
          <w:rFonts w:ascii="Garamond" w:eastAsia="Times New Roman" w:hAnsi="Garamond" w:cs="Times New Roman"/>
          <w:bCs/>
          <w:sz w:val="24"/>
          <w:szCs w:val="24"/>
          <w:lang w:eastAsia="it-IT"/>
        </w:rPr>
        <w:t>cd</w:t>
      </w:r>
      <w:r w:rsidR="009D20FE" w:rsidRPr="00053B45">
        <w:rPr>
          <w:rFonts w:ascii="Garamond" w:eastAsia="Times New Roman" w:hAnsi="Garamond" w:cs="Times New Roman"/>
          <w:bCs/>
          <w:i/>
          <w:sz w:val="24"/>
          <w:szCs w:val="24"/>
          <w:lang w:eastAsia="it-IT"/>
        </w:rPr>
        <w:t xml:space="preserve">. </w:t>
      </w:r>
      <w:r w:rsidRPr="00053B45">
        <w:rPr>
          <w:rFonts w:ascii="Garamond" w:eastAsia="Times New Roman" w:hAnsi="Garamond" w:cs="Times New Roman"/>
          <w:bCs/>
          <w:i/>
          <w:sz w:val="24"/>
          <w:szCs w:val="24"/>
          <w:lang w:eastAsia="it-IT"/>
        </w:rPr>
        <w:t>whistleblowing</w:t>
      </w:r>
      <w:r w:rsidRPr="009D20FE">
        <w:rPr>
          <w:rFonts w:ascii="Garamond" w:eastAsia="Times New Roman" w:hAnsi="Garamond" w:cs="Times New Roman"/>
          <w:bCs/>
          <w:sz w:val="24"/>
          <w:szCs w:val="24"/>
          <w:lang w:eastAsia="it-IT"/>
        </w:rPr>
        <w:t>,</w:t>
      </w:r>
      <w:r w:rsidRPr="00277985">
        <w:rPr>
          <w:rFonts w:ascii="Garamond" w:eastAsia="Times New Roman" w:hAnsi="Garamond" w:cs="Times New Roman"/>
          <w:bCs/>
          <w:sz w:val="24"/>
          <w:szCs w:val="24"/>
          <w:lang w:eastAsia="it-IT"/>
        </w:rPr>
        <w:t xml:space="preserve"> </w:t>
      </w:r>
      <w:r w:rsidRPr="009D20FE">
        <w:rPr>
          <w:rFonts w:ascii="Garamond" w:eastAsia="Times New Roman" w:hAnsi="Garamond" w:cs="Times New Roman"/>
          <w:bCs/>
          <w:sz w:val="24"/>
          <w:szCs w:val="24"/>
          <w:lang w:eastAsia="it-IT"/>
        </w:rPr>
        <w:t>contenuta nel</w:t>
      </w:r>
      <w:r w:rsidRPr="00277985">
        <w:rPr>
          <w:rFonts w:ascii="Garamond" w:eastAsia="Times New Roman" w:hAnsi="Garamond" w:cs="Times New Roman"/>
          <w:bCs/>
          <w:sz w:val="24"/>
          <w:szCs w:val="24"/>
          <w:lang w:eastAsia="it-IT"/>
        </w:rPr>
        <w:t xml:space="preserve"> d.lgs. n. </w:t>
      </w:r>
      <w:r w:rsidR="00BD38BC" w:rsidRPr="00277985">
        <w:rPr>
          <w:rFonts w:ascii="Garamond" w:eastAsia="Times New Roman" w:hAnsi="Garamond" w:cs="Times New Roman"/>
          <w:bCs/>
          <w:sz w:val="24"/>
          <w:szCs w:val="24"/>
          <w:lang w:eastAsia="it-IT"/>
        </w:rPr>
        <w:t>30 marzo 2001</w:t>
      </w:r>
      <w:r w:rsidR="00B65EB4" w:rsidRPr="00277985">
        <w:rPr>
          <w:rFonts w:ascii="Garamond" w:eastAsia="Times New Roman" w:hAnsi="Garamond" w:cs="Times New Roman"/>
          <w:bCs/>
          <w:sz w:val="24"/>
          <w:szCs w:val="24"/>
          <w:lang w:eastAsia="it-IT"/>
        </w:rPr>
        <w:t>, n. 1</w:t>
      </w:r>
      <w:r w:rsidRPr="00277985">
        <w:rPr>
          <w:rFonts w:ascii="Garamond" w:eastAsia="Times New Roman" w:hAnsi="Garamond" w:cs="Times New Roman"/>
          <w:bCs/>
          <w:sz w:val="24"/>
          <w:szCs w:val="24"/>
          <w:lang w:eastAsia="it-IT"/>
        </w:rPr>
        <w:t>65</w:t>
      </w:r>
      <w:r w:rsidR="00B65EB4" w:rsidRPr="00277985">
        <w:rPr>
          <w:rFonts w:ascii="Garamond" w:eastAsia="Times New Roman" w:hAnsi="Garamond" w:cs="Times New Roman"/>
          <w:bCs/>
          <w:sz w:val="24"/>
          <w:szCs w:val="24"/>
          <w:lang w:eastAsia="it-IT"/>
        </w:rPr>
        <w:t>, all’art. 54-bis,</w:t>
      </w:r>
      <w:r>
        <w:rPr>
          <w:rFonts w:ascii="Garamond" w:eastAsia="Times New Roman" w:hAnsi="Garamond" w:cs="Times New Roman"/>
          <w:bCs/>
          <w:sz w:val="24"/>
          <w:szCs w:val="24"/>
          <w:lang w:eastAsia="it-IT"/>
        </w:rPr>
        <w:t xml:space="preserve"> e riformata da ultimo per effetto della legge 30 novembre 2017, n. 179</w:t>
      </w:r>
      <w:r w:rsidR="00B65EB4">
        <w:rPr>
          <w:rFonts w:ascii="Garamond" w:eastAsia="Times New Roman" w:hAnsi="Garamond" w:cs="Times New Roman"/>
          <w:bCs/>
          <w:sz w:val="24"/>
          <w:szCs w:val="24"/>
          <w:lang w:eastAsia="it-IT"/>
        </w:rPr>
        <w:t xml:space="preserve">. </w:t>
      </w:r>
      <w:r w:rsidR="001B3268" w:rsidRPr="000B0202">
        <w:rPr>
          <w:rFonts w:ascii="Garamond" w:eastAsia="Times New Roman" w:hAnsi="Garamond" w:cs="Times New Roman"/>
          <w:bCs/>
          <w:i/>
          <w:sz w:val="24"/>
          <w:szCs w:val="24"/>
          <w:lang w:eastAsia="it-IT"/>
        </w:rPr>
        <w:t>Whistleblower</w:t>
      </w:r>
      <w:r w:rsidR="001B3268">
        <w:rPr>
          <w:rFonts w:ascii="Garamond" w:eastAsia="Times New Roman" w:hAnsi="Garamond" w:cs="Times New Roman"/>
          <w:bCs/>
          <w:sz w:val="24"/>
          <w:szCs w:val="24"/>
          <w:lang w:eastAsia="it-IT"/>
        </w:rPr>
        <w:t xml:space="preserve"> </w:t>
      </w:r>
      <w:r w:rsidR="000B0202">
        <w:rPr>
          <w:rFonts w:ascii="Garamond" w:eastAsia="Times New Roman" w:hAnsi="Garamond" w:cs="Times New Roman"/>
          <w:bCs/>
          <w:sz w:val="24"/>
          <w:szCs w:val="24"/>
          <w:lang w:eastAsia="it-IT"/>
        </w:rPr>
        <w:t xml:space="preserve">(o “segnalante di illeciti”) </w:t>
      </w:r>
      <w:r w:rsidR="001B3268">
        <w:rPr>
          <w:rFonts w:ascii="Garamond" w:eastAsia="Times New Roman" w:hAnsi="Garamond" w:cs="Times New Roman"/>
          <w:bCs/>
          <w:sz w:val="24"/>
          <w:szCs w:val="24"/>
          <w:lang w:eastAsia="it-IT"/>
        </w:rPr>
        <w:t>è i</w:t>
      </w:r>
      <w:r w:rsidR="00745C31">
        <w:rPr>
          <w:rFonts w:ascii="Garamond" w:eastAsia="Times New Roman" w:hAnsi="Garamond" w:cs="Times New Roman"/>
          <w:bCs/>
          <w:sz w:val="24"/>
          <w:szCs w:val="24"/>
          <w:lang w:eastAsia="it-IT"/>
        </w:rPr>
        <w:t>l dipendente pubblico che</w:t>
      </w:r>
      <w:r w:rsidR="00745C31" w:rsidRPr="00B65EB4">
        <w:rPr>
          <w:rFonts w:ascii="Garamond" w:eastAsia="Times New Roman" w:hAnsi="Garamond" w:cs="Times New Roman"/>
          <w:bCs/>
          <w:sz w:val="24"/>
          <w:szCs w:val="24"/>
          <w:lang w:eastAsia="it-IT"/>
        </w:rPr>
        <w:t>, nell'interesse dell’integrità della pubblica amministrazione, segnala</w:t>
      </w:r>
      <w:r w:rsidR="00745C31">
        <w:rPr>
          <w:rFonts w:ascii="Garamond" w:eastAsia="Times New Roman" w:hAnsi="Garamond" w:cs="Times New Roman"/>
          <w:bCs/>
          <w:sz w:val="24"/>
          <w:szCs w:val="24"/>
          <w:lang w:eastAsia="it-IT"/>
        </w:rPr>
        <w:t xml:space="preserve"> </w:t>
      </w:r>
      <w:r w:rsidR="00745C31" w:rsidRPr="00B65EB4">
        <w:rPr>
          <w:rFonts w:ascii="Garamond" w:eastAsia="Times New Roman" w:hAnsi="Garamond" w:cs="Times New Roman"/>
          <w:bCs/>
          <w:sz w:val="24"/>
          <w:szCs w:val="24"/>
          <w:lang w:eastAsia="it-IT"/>
        </w:rPr>
        <w:t>condotte illecite di cui è venuto a conoscenza in ragione del proprio rapporto di lavoro</w:t>
      </w:r>
      <w:r w:rsidR="00745C31">
        <w:rPr>
          <w:rFonts w:ascii="Garamond" w:eastAsia="Times New Roman" w:hAnsi="Garamond" w:cs="Times New Roman"/>
          <w:bCs/>
          <w:sz w:val="24"/>
          <w:szCs w:val="24"/>
          <w:lang w:eastAsia="it-IT"/>
        </w:rPr>
        <w:t xml:space="preserve">. In tali casi, per effetto della segnalazione fatta, </w:t>
      </w:r>
      <w:r w:rsidR="000B0202">
        <w:rPr>
          <w:rFonts w:ascii="Garamond" w:eastAsia="Times New Roman" w:hAnsi="Garamond" w:cs="Times New Roman"/>
          <w:bCs/>
          <w:sz w:val="24"/>
          <w:szCs w:val="24"/>
          <w:lang w:eastAsia="it-IT"/>
        </w:rPr>
        <w:t xml:space="preserve">deve essere protetto e, dunque, </w:t>
      </w:r>
      <w:r w:rsidR="00745C31" w:rsidRPr="00B65EB4">
        <w:rPr>
          <w:rFonts w:ascii="Garamond" w:eastAsia="Times New Roman" w:hAnsi="Garamond" w:cs="Times New Roman"/>
          <w:bCs/>
          <w:sz w:val="24"/>
          <w:szCs w:val="24"/>
          <w:lang w:eastAsia="it-IT"/>
        </w:rPr>
        <w:t xml:space="preserve">non può essere sanzionato, demansionato, licenziato, trasferito, o sottoposto ad altra misura organizzativa avente effetti negativi, diretti o indiretti, sulle condizioni di lavoro determinata dalla segnalazione. </w:t>
      </w:r>
    </w:p>
    <w:p w14:paraId="56EF3621" w14:textId="14E75527" w:rsidR="003A0F5C" w:rsidRDefault="00B65EB4" w:rsidP="00277985">
      <w:pPr>
        <w:jc w:val="both"/>
        <w:rPr>
          <w:rFonts w:ascii="Garamond" w:eastAsia="Times New Roman" w:hAnsi="Garamond" w:cs="Times New Roman"/>
          <w:bCs/>
          <w:sz w:val="24"/>
          <w:szCs w:val="24"/>
          <w:lang w:eastAsia="it-IT"/>
        </w:rPr>
      </w:pPr>
      <w:r>
        <w:rPr>
          <w:rFonts w:ascii="Garamond" w:eastAsia="Times New Roman" w:hAnsi="Garamond" w:cs="Times New Roman"/>
          <w:bCs/>
          <w:sz w:val="24"/>
          <w:szCs w:val="24"/>
          <w:lang w:eastAsia="it-IT"/>
        </w:rPr>
        <w:t>Rispetto a tale istituto sono sintetizzate, ancora una volta, in capo all’Anac funzioni regolatorie</w:t>
      </w:r>
      <w:r w:rsidR="009D20FE">
        <w:rPr>
          <w:rFonts w:ascii="Garamond" w:eastAsia="Times New Roman" w:hAnsi="Garamond" w:cs="Times New Roman"/>
          <w:bCs/>
          <w:sz w:val="24"/>
          <w:szCs w:val="24"/>
          <w:lang w:eastAsia="it-IT"/>
        </w:rPr>
        <w:t xml:space="preserve"> e </w:t>
      </w:r>
      <w:r>
        <w:rPr>
          <w:rFonts w:ascii="Garamond" w:eastAsia="Times New Roman" w:hAnsi="Garamond" w:cs="Times New Roman"/>
          <w:bCs/>
          <w:sz w:val="24"/>
          <w:szCs w:val="24"/>
          <w:lang w:eastAsia="it-IT"/>
        </w:rPr>
        <w:t xml:space="preserve">sanzionatorie </w:t>
      </w:r>
      <w:r w:rsidR="009D20FE">
        <w:rPr>
          <w:rFonts w:ascii="Garamond" w:eastAsia="Times New Roman" w:hAnsi="Garamond" w:cs="Times New Roman"/>
          <w:bCs/>
          <w:sz w:val="24"/>
          <w:szCs w:val="24"/>
          <w:lang w:eastAsia="it-IT"/>
        </w:rPr>
        <w:t xml:space="preserve">e, prima ancora, un ruolo </w:t>
      </w:r>
      <w:r w:rsidR="000B0202">
        <w:rPr>
          <w:rFonts w:ascii="Garamond" w:eastAsia="Times New Roman" w:hAnsi="Garamond" w:cs="Times New Roman"/>
          <w:bCs/>
          <w:sz w:val="24"/>
          <w:szCs w:val="24"/>
          <w:lang w:eastAsia="it-IT"/>
        </w:rPr>
        <w:t xml:space="preserve">propulsivo </w:t>
      </w:r>
      <w:r w:rsidR="00745C31">
        <w:rPr>
          <w:rFonts w:ascii="Garamond" w:eastAsia="Times New Roman" w:hAnsi="Garamond" w:cs="Times New Roman"/>
          <w:bCs/>
          <w:sz w:val="24"/>
          <w:szCs w:val="24"/>
          <w:lang w:eastAsia="it-IT"/>
        </w:rPr>
        <w:t xml:space="preserve">in un’ottica di promozione dell’etica pubblica da parte delle pubbliche amministrazioni. </w:t>
      </w:r>
    </w:p>
    <w:p w14:paraId="175131F9" w14:textId="1839EAA0" w:rsidR="00B65EB4" w:rsidRDefault="000B0202" w:rsidP="00277985">
      <w:pPr>
        <w:jc w:val="both"/>
        <w:rPr>
          <w:rFonts w:ascii="Garamond" w:eastAsia="Times New Roman" w:hAnsi="Garamond" w:cs="Times New Roman"/>
          <w:bCs/>
          <w:sz w:val="24"/>
          <w:szCs w:val="24"/>
          <w:lang w:eastAsia="it-IT"/>
        </w:rPr>
      </w:pPr>
      <w:r>
        <w:rPr>
          <w:rFonts w:ascii="Garamond" w:eastAsia="Times New Roman" w:hAnsi="Garamond" w:cs="Times New Roman"/>
          <w:bCs/>
          <w:sz w:val="24"/>
          <w:szCs w:val="24"/>
          <w:lang w:eastAsia="it-IT"/>
        </w:rPr>
        <w:t>A tal fine, anzitutto,</w:t>
      </w:r>
      <w:r w:rsidR="00B65EB4">
        <w:rPr>
          <w:rFonts w:ascii="Garamond" w:eastAsia="Times New Roman" w:hAnsi="Garamond" w:cs="Times New Roman"/>
          <w:bCs/>
          <w:sz w:val="24"/>
          <w:szCs w:val="24"/>
          <w:lang w:eastAsia="it-IT"/>
        </w:rPr>
        <w:t xml:space="preserve"> l’Autorità </w:t>
      </w:r>
      <w:r w:rsidR="00745C31">
        <w:rPr>
          <w:rFonts w:ascii="Garamond" w:eastAsia="Times New Roman" w:hAnsi="Garamond" w:cs="Times New Roman"/>
          <w:bCs/>
          <w:sz w:val="24"/>
          <w:szCs w:val="24"/>
          <w:lang w:eastAsia="it-IT"/>
        </w:rPr>
        <w:t>è tra i soggetti “destinatari”</w:t>
      </w:r>
      <w:r w:rsidR="00B65EB4">
        <w:rPr>
          <w:rFonts w:ascii="Garamond" w:eastAsia="Times New Roman" w:hAnsi="Garamond" w:cs="Times New Roman"/>
          <w:bCs/>
          <w:sz w:val="24"/>
          <w:szCs w:val="24"/>
          <w:lang w:eastAsia="it-IT"/>
        </w:rPr>
        <w:t xml:space="preserve"> </w:t>
      </w:r>
      <w:r w:rsidR="00745C31">
        <w:rPr>
          <w:rFonts w:ascii="Garamond" w:eastAsia="Times New Roman" w:hAnsi="Garamond" w:cs="Times New Roman"/>
          <w:bCs/>
          <w:sz w:val="24"/>
          <w:szCs w:val="24"/>
          <w:lang w:eastAsia="it-IT"/>
        </w:rPr>
        <w:t>del</w:t>
      </w:r>
      <w:r w:rsidR="00B65EB4">
        <w:rPr>
          <w:rFonts w:ascii="Garamond" w:eastAsia="Times New Roman" w:hAnsi="Garamond" w:cs="Times New Roman"/>
          <w:bCs/>
          <w:sz w:val="24"/>
          <w:szCs w:val="24"/>
          <w:lang w:eastAsia="it-IT"/>
        </w:rPr>
        <w:t>le segnalazioni del</w:t>
      </w:r>
      <w:r w:rsidR="00B65EB4" w:rsidRPr="00B65EB4">
        <w:rPr>
          <w:rFonts w:ascii="Garamond" w:eastAsia="Times New Roman" w:hAnsi="Garamond" w:cs="Times New Roman"/>
          <w:bCs/>
          <w:sz w:val="24"/>
          <w:szCs w:val="24"/>
          <w:lang w:eastAsia="it-IT"/>
        </w:rPr>
        <w:t xml:space="preserve"> pubblico dipendente </w:t>
      </w:r>
      <w:r w:rsidR="00745C31">
        <w:rPr>
          <w:rFonts w:ascii="Garamond" w:eastAsia="Times New Roman" w:hAnsi="Garamond" w:cs="Times New Roman"/>
          <w:bCs/>
          <w:sz w:val="24"/>
          <w:szCs w:val="24"/>
          <w:lang w:eastAsia="it-IT"/>
        </w:rPr>
        <w:t xml:space="preserve">insieme al </w:t>
      </w:r>
      <w:r w:rsidR="00745C31" w:rsidRPr="00745C31">
        <w:rPr>
          <w:rFonts w:ascii="Garamond" w:eastAsia="Times New Roman" w:hAnsi="Garamond" w:cs="Times New Roman"/>
          <w:bCs/>
          <w:sz w:val="24"/>
          <w:szCs w:val="24"/>
          <w:lang w:eastAsia="it-IT"/>
        </w:rPr>
        <w:t xml:space="preserve">responsabile della prevenzione della corruzione e della trasparenza di cui all'articolo 1, comma 7, della legge 6 novembre 2012, n. 190, </w:t>
      </w:r>
      <w:r w:rsidR="00745C31">
        <w:rPr>
          <w:rFonts w:ascii="Garamond" w:eastAsia="Times New Roman" w:hAnsi="Garamond" w:cs="Times New Roman"/>
          <w:bCs/>
          <w:sz w:val="24"/>
          <w:szCs w:val="24"/>
          <w:lang w:eastAsia="it-IT"/>
        </w:rPr>
        <w:t xml:space="preserve">o </w:t>
      </w:r>
      <w:r w:rsidR="00745C31" w:rsidRPr="00745C31">
        <w:rPr>
          <w:rFonts w:ascii="Garamond" w:eastAsia="Times New Roman" w:hAnsi="Garamond" w:cs="Times New Roman"/>
          <w:bCs/>
          <w:sz w:val="24"/>
          <w:szCs w:val="24"/>
          <w:lang w:eastAsia="it-IT"/>
        </w:rPr>
        <w:t>all'autorit</w:t>
      </w:r>
      <w:r w:rsidR="00745C31">
        <w:rPr>
          <w:rFonts w:ascii="Garamond" w:eastAsia="Times New Roman" w:hAnsi="Garamond" w:cs="Times New Roman"/>
          <w:bCs/>
          <w:sz w:val="24"/>
          <w:szCs w:val="24"/>
          <w:lang w:eastAsia="it-IT"/>
        </w:rPr>
        <w:t xml:space="preserve">à </w:t>
      </w:r>
      <w:r w:rsidR="00745C31" w:rsidRPr="00745C31">
        <w:rPr>
          <w:rFonts w:ascii="Garamond" w:eastAsia="Times New Roman" w:hAnsi="Garamond" w:cs="Times New Roman"/>
          <w:bCs/>
          <w:sz w:val="24"/>
          <w:szCs w:val="24"/>
          <w:lang w:eastAsia="it-IT"/>
        </w:rPr>
        <w:t>giudiziaria ordinaria o a quella contabile</w:t>
      </w:r>
      <w:r w:rsidR="00745C31">
        <w:rPr>
          <w:rFonts w:ascii="Garamond" w:eastAsia="Times New Roman" w:hAnsi="Garamond" w:cs="Times New Roman"/>
          <w:bCs/>
          <w:sz w:val="24"/>
          <w:szCs w:val="24"/>
          <w:lang w:eastAsia="it-IT"/>
        </w:rPr>
        <w:t>.</w:t>
      </w:r>
    </w:p>
    <w:p w14:paraId="10609C24" w14:textId="367E8E9B" w:rsidR="00B65EB4" w:rsidRDefault="000B0202" w:rsidP="00277985">
      <w:pPr>
        <w:jc w:val="both"/>
        <w:rPr>
          <w:rFonts w:ascii="Garamond" w:eastAsia="Times New Roman" w:hAnsi="Garamond" w:cs="Times New Roman"/>
          <w:bCs/>
          <w:sz w:val="24"/>
          <w:szCs w:val="24"/>
          <w:lang w:eastAsia="it-IT"/>
        </w:rPr>
      </w:pPr>
      <w:r>
        <w:rPr>
          <w:rFonts w:ascii="Garamond" w:eastAsia="Times New Roman" w:hAnsi="Garamond" w:cs="Times New Roman"/>
          <w:bCs/>
          <w:sz w:val="24"/>
          <w:szCs w:val="24"/>
          <w:lang w:eastAsia="it-IT"/>
        </w:rPr>
        <w:t>Il ruolo</w:t>
      </w:r>
      <w:r w:rsidR="000677BA">
        <w:rPr>
          <w:rFonts w:ascii="Garamond" w:eastAsia="Times New Roman" w:hAnsi="Garamond" w:cs="Times New Roman"/>
          <w:bCs/>
          <w:sz w:val="24"/>
          <w:szCs w:val="24"/>
          <w:lang w:eastAsia="it-IT"/>
        </w:rPr>
        <w:t xml:space="preserve"> </w:t>
      </w:r>
      <w:r w:rsidR="00B65EB4">
        <w:rPr>
          <w:rFonts w:ascii="Garamond" w:eastAsia="Times New Roman" w:hAnsi="Garamond" w:cs="Times New Roman"/>
          <w:bCs/>
          <w:sz w:val="24"/>
          <w:szCs w:val="24"/>
          <w:lang w:eastAsia="it-IT"/>
        </w:rPr>
        <w:t>dell’Anac si ha anche in una fase successiva e, cioè, nel caso in cui alla segnalazione siano seguite misure ritorsive. In questo caso, l</w:t>
      </w:r>
      <w:r w:rsidR="00B65EB4" w:rsidRPr="00B65EB4">
        <w:rPr>
          <w:rFonts w:ascii="Garamond" w:eastAsia="Times New Roman" w:hAnsi="Garamond" w:cs="Times New Roman"/>
          <w:bCs/>
          <w:sz w:val="24"/>
          <w:szCs w:val="24"/>
          <w:lang w:eastAsia="it-IT"/>
        </w:rPr>
        <w:t>'adozione di misure ritenute ritorsive</w:t>
      </w:r>
      <w:r w:rsidR="00B65EB4">
        <w:rPr>
          <w:rFonts w:ascii="Garamond" w:eastAsia="Times New Roman" w:hAnsi="Garamond" w:cs="Times New Roman"/>
          <w:bCs/>
          <w:sz w:val="24"/>
          <w:szCs w:val="24"/>
          <w:lang w:eastAsia="it-IT"/>
        </w:rPr>
        <w:t xml:space="preserve"> nei </w:t>
      </w:r>
      <w:r w:rsidR="00B65EB4" w:rsidRPr="00B65EB4">
        <w:rPr>
          <w:rFonts w:ascii="Garamond" w:eastAsia="Times New Roman" w:hAnsi="Garamond" w:cs="Times New Roman"/>
          <w:bCs/>
          <w:sz w:val="24"/>
          <w:szCs w:val="24"/>
          <w:lang w:eastAsia="it-IT"/>
        </w:rPr>
        <w:t>confronti del segnalante è comunicata in ogni caso all'A</w:t>
      </w:r>
      <w:r w:rsidR="00B65EB4">
        <w:rPr>
          <w:rFonts w:ascii="Garamond" w:eastAsia="Times New Roman" w:hAnsi="Garamond" w:cs="Times New Roman"/>
          <w:bCs/>
          <w:sz w:val="24"/>
          <w:szCs w:val="24"/>
          <w:lang w:eastAsia="it-IT"/>
        </w:rPr>
        <w:t>nac</w:t>
      </w:r>
      <w:r w:rsidR="00B65EB4" w:rsidRPr="00B65EB4">
        <w:rPr>
          <w:rFonts w:ascii="Garamond" w:eastAsia="Times New Roman" w:hAnsi="Garamond" w:cs="Times New Roman"/>
          <w:bCs/>
          <w:sz w:val="24"/>
          <w:szCs w:val="24"/>
          <w:lang w:eastAsia="it-IT"/>
        </w:rPr>
        <w:t xml:space="preserve"> dall'interessato o dalle organizzazioni sindacali maggiormente rappresentative nell'amministrazione nella quale le stesse sono state poste in essere. L'A</w:t>
      </w:r>
      <w:r w:rsidR="00B65EB4">
        <w:rPr>
          <w:rFonts w:ascii="Garamond" w:eastAsia="Times New Roman" w:hAnsi="Garamond" w:cs="Times New Roman"/>
          <w:bCs/>
          <w:sz w:val="24"/>
          <w:szCs w:val="24"/>
          <w:lang w:eastAsia="it-IT"/>
        </w:rPr>
        <w:t>nac, a sua volta,</w:t>
      </w:r>
      <w:r w:rsidR="00B65EB4" w:rsidRPr="00B65EB4">
        <w:rPr>
          <w:rFonts w:ascii="Garamond" w:eastAsia="Times New Roman" w:hAnsi="Garamond" w:cs="Times New Roman"/>
          <w:bCs/>
          <w:sz w:val="24"/>
          <w:szCs w:val="24"/>
          <w:lang w:eastAsia="it-IT"/>
        </w:rPr>
        <w:t xml:space="preserve"> informa il Dipartimento della funzione pubblica della Presidenza del Consiglio dei ministri o gli altri organismi di garanzia o di disciplina</w:t>
      </w:r>
      <w:r w:rsidR="00B65EB4">
        <w:rPr>
          <w:rFonts w:ascii="Garamond" w:eastAsia="Times New Roman" w:hAnsi="Garamond" w:cs="Times New Roman"/>
          <w:bCs/>
          <w:sz w:val="24"/>
          <w:szCs w:val="24"/>
          <w:lang w:eastAsia="it-IT"/>
        </w:rPr>
        <w:t>.</w:t>
      </w:r>
      <w:r w:rsidR="000677BA">
        <w:rPr>
          <w:rFonts w:ascii="Garamond" w:eastAsia="Times New Roman" w:hAnsi="Garamond" w:cs="Times New Roman"/>
          <w:bCs/>
          <w:sz w:val="24"/>
          <w:szCs w:val="24"/>
          <w:lang w:eastAsia="it-IT"/>
        </w:rPr>
        <w:t xml:space="preserve"> </w:t>
      </w:r>
      <w:r w:rsidR="000677BA" w:rsidRPr="000677BA">
        <w:rPr>
          <w:rFonts w:ascii="Garamond" w:eastAsia="Times New Roman" w:hAnsi="Garamond" w:cs="Times New Roman"/>
          <w:bCs/>
          <w:sz w:val="24"/>
          <w:szCs w:val="24"/>
          <w:lang w:eastAsia="it-IT"/>
        </w:rPr>
        <w:t>Al riguardo, l’Autorità ritiene che la suddetta attività informativa debba svolgersi solo all’esito del procedimento sanzionatorio, qualora sia accertata la natura effettivamente ritorsiva della misura adottata.</w:t>
      </w:r>
    </w:p>
    <w:p w14:paraId="091A1DE8" w14:textId="79E7C17C" w:rsidR="00B65EB4" w:rsidRPr="008158E7" w:rsidRDefault="009D20FE" w:rsidP="00277985">
      <w:pPr>
        <w:jc w:val="both"/>
        <w:rPr>
          <w:rFonts w:ascii="Garamond" w:hAnsi="Garamond"/>
          <w:b/>
          <w:sz w:val="24"/>
          <w:szCs w:val="24"/>
        </w:rPr>
      </w:pPr>
      <w:r>
        <w:rPr>
          <w:rFonts w:ascii="Garamond" w:eastAsia="Times New Roman" w:hAnsi="Garamond" w:cs="Times New Roman"/>
          <w:bCs/>
          <w:sz w:val="24"/>
          <w:szCs w:val="24"/>
          <w:lang w:eastAsia="it-IT"/>
        </w:rPr>
        <w:t xml:space="preserve">Quanto alla </w:t>
      </w:r>
      <w:r w:rsidRPr="000B0202">
        <w:rPr>
          <w:rFonts w:ascii="Garamond" w:eastAsia="Times New Roman" w:hAnsi="Garamond" w:cs="Times New Roman"/>
          <w:bCs/>
          <w:sz w:val="24"/>
          <w:szCs w:val="24"/>
          <w:lang w:eastAsia="it-IT"/>
        </w:rPr>
        <w:t>c</w:t>
      </w:r>
      <w:r w:rsidR="00B65EB4" w:rsidRPr="000B0202">
        <w:rPr>
          <w:rFonts w:ascii="Garamond" w:eastAsia="Times New Roman" w:hAnsi="Garamond" w:cs="Times New Roman"/>
          <w:bCs/>
          <w:sz w:val="24"/>
          <w:szCs w:val="24"/>
          <w:lang w:eastAsia="it-IT"/>
        </w:rPr>
        <w:t>ompetenza regolatoria</w:t>
      </w:r>
      <w:r>
        <w:rPr>
          <w:rFonts w:ascii="Garamond" w:eastAsia="Times New Roman" w:hAnsi="Garamond" w:cs="Times New Roman"/>
          <w:bCs/>
          <w:sz w:val="24"/>
          <w:szCs w:val="24"/>
          <w:lang w:eastAsia="it-IT"/>
        </w:rPr>
        <w:t xml:space="preserve">, la legge attribuisce all’Anac, </w:t>
      </w:r>
      <w:r w:rsidRPr="009D20FE">
        <w:rPr>
          <w:rFonts w:ascii="Garamond" w:eastAsia="Times New Roman" w:hAnsi="Garamond" w:cs="Times New Roman"/>
          <w:bCs/>
          <w:sz w:val="24"/>
          <w:szCs w:val="24"/>
          <w:lang w:eastAsia="it-IT"/>
        </w:rPr>
        <w:t xml:space="preserve">sentito il Garante per la protezione dei dati personali, </w:t>
      </w:r>
      <w:r>
        <w:rPr>
          <w:rFonts w:ascii="Garamond" w:eastAsia="Times New Roman" w:hAnsi="Garamond" w:cs="Times New Roman"/>
          <w:bCs/>
          <w:sz w:val="24"/>
          <w:szCs w:val="24"/>
          <w:lang w:eastAsia="it-IT"/>
        </w:rPr>
        <w:t xml:space="preserve">il compito di adottare </w:t>
      </w:r>
      <w:r w:rsidRPr="009D20FE">
        <w:rPr>
          <w:rFonts w:ascii="Garamond" w:eastAsia="Times New Roman" w:hAnsi="Garamond" w:cs="Times New Roman"/>
          <w:bCs/>
          <w:sz w:val="24"/>
          <w:szCs w:val="24"/>
          <w:lang w:eastAsia="it-IT"/>
        </w:rPr>
        <w:t>apposite linee guida relative alle procedure per la presentazione e la gestione delle segnalazioni</w:t>
      </w:r>
      <w:r>
        <w:rPr>
          <w:rFonts w:ascii="Garamond" w:eastAsia="Times New Roman" w:hAnsi="Garamond" w:cs="Times New Roman"/>
          <w:bCs/>
          <w:sz w:val="24"/>
          <w:szCs w:val="24"/>
          <w:lang w:eastAsia="it-IT"/>
        </w:rPr>
        <w:t xml:space="preserve"> (art. 54</w:t>
      </w:r>
      <w:r w:rsidRPr="00277985">
        <w:rPr>
          <w:rFonts w:ascii="Garamond" w:eastAsia="Times New Roman" w:hAnsi="Garamond" w:cs="Times New Roman"/>
          <w:bCs/>
          <w:sz w:val="24"/>
          <w:szCs w:val="24"/>
          <w:lang w:eastAsia="it-IT"/>
        </w:rPr>
        <w:t>-</w:t>
      </w:r>
      <w:r w:rsidRPr="00240C3E">
        <w:rPr>
          <w:rFonts w:ascii="Garamond" w:eastAsia="Times New Roman" w:hAnsi="Garamond" w:cs="Times New Roman"/>
          <w:bCs/>
          <w:i/>
          <w:sz w:val="24"/>
          <w:szCs w:val="24"/>
          <w:lang w:eastAsia="it-IT"/>
        </w:rPr>
        <w:t>bis</w:t>
      </w:r>
      <w:r>
        <w:rPr>
          <w:rFonts w:ascii="Garamond" w:eastAsia="Times New Roman" w:hAnsi="Garamond" w:cs="Times New Roman"/>
          <w:bCs/>
          <w:sz w:val="24"/>
          <w:szCs w:val="24"/>
          <w:lang w:eastAsia="it-IT"/>
        </w:rPr>
        <w:t>, comma 5)</w:t>
      </w:r>
      <w:r w:rsidRPr="009D20FE">
        <w:rPr>
          <w:rFonts w:ascii="Garamond" w:eastAsia="Times New Roman" w:hAnsi="Garamond" w:cs="Times New Roman"/>
          <w:bCs/>
          <w:sz w:val="24"/>
          <w:szCs w:val="24"/>
          <w:lang w:eastAsia="it-IT"/>
        </w:rPr>
        <w:t xml:space="preserve">. </w:t>
      </w:r>
      <w:r w:rsidR="008158E7">
        <w:rPr>
          <w:rFonts w:ascii="Garamond" w:eastAsia="Times New Roman" w:hAnsi="Garamond" w:cs="Times New Roman"/>
          <w:bCs/>
          <w:sz w:val="24"/>
          <w:szCs w:val="24"/>
          <w:lang w:eastAsia="it-IT"/>
        </w:rPr>
        <w:t xml:space="preserve">A tal fine le </w:t>
      </w:r>
      <w:r w:rsidR="008158E7" w:rsidRPr="00053B45">
        <w:rPr>
          <w:rFonts w:ascii="Garamond" w:hAnsi="Garamond"/>
          <w:b/>
          <w:sz w:val="24"/>
          <w:szCs w:val="24"/>
        </w:rPr>
        <w:t>Linee guida</w:t>
      </w:r>
      <w:r w:rsidR="008158E7">
        <w:rPr>
          <w:rFonts w:ascii="Garamond" w:hAnsi="Garamond"/>
          <w:sz w:val="24"/>
          <w:szCs w:val="24"/>
        </w:rPr>
        <w:t xml:space="preserve"> adottate</w:t>
      </w:r>
      <w:r w:rsidR="008158E7" w:rsidRPr="00053B45">
        <w:rPr>
          <w:rFonts w:ascii="Garamond" w:hAnsi="Garamond"/>
          <w:b/>
          <w:sz w:val="24"/>
          <w:szCs w:val="24"/>
        </w:rPr>
        <w:t xml:space="preserve"> </w:t>
      </w:r>
      <w:r w:rsidR="008158E7" w:rsidRPr="008158E7">
        <w:rPr>
          <w:rFonts w:ascii="Garamond" w:hAnsi="Garamond"/>
          <w:sz w:val="24"/>
          <w:szCs w:val="24"/>
        </w:rPr>
        <w:t>dall’Autorità c</w:t>
      </w:r>
      <w:r w:rsidR="008158E7" w:rsidRPr="00053B45">
        <w:rPr>
          <w:rFonts w:ascii="Garamond" w:hAnsi="Garamond"/>
          <w:b/>
          <w:sz w:val="24"/>
          <w:szCs w:val="24"/>
        </w:rPr>
        <w:t>on De</w:t>
      </w:r>
      <w:r w:rsidR="008158E7">
        <w:rPr>
          <w:rFonts w:ascii="Garamond" w:hAnsi="Garamond"/>
          <w:b/>
          <w:sz w:val="24"/>
          <w:szCs w:val="24"/>
        </w:rPr>
        <w:t>libera n. 469 del 9 giugno 2021</w:t>
      </w:r>
      <w:r w:rsidR="008158E7">
        <w:rPr>
          <w:rFonts w:ascii="Garamond" w:eastAsia="Times New Roman" w:hAnsi="Garamond" w:cs="Times New Roman"/>
          <w:bCs/>
          <w:sz w:val="24"/>
          <w:szCs w:val="24"/>
          <w:lang w:eastAsia="it-IT"/>
        </w:rPr>
        <w:t xml:space="preserve">, </w:t>
      </w:r>
      <w:r w:rsidR="00240C3E" w:rsidRPr="009D20FE">
        <w:rPr>
          <w:rFonts w:ascii="Garamond" w:eastAsia="Times New Roman" w:hAnsi="Garamond" w:cs="Times New Roman"/>
          <w:bCs/>
          <w:sz w:val="24"/>
          <w:szCs w:val="24"/>
          <w:lang w:eastAsia="it-IT"/>
        </w:rPr>
        <w:t xml:space="preserve">prevedono l'utilizzo </w:t>
      </w:r>
      <w:r w:rsidR="00240C3E">
        <w:rPr>
          <w:rFonts w:ascii="Garamond" w:eastAsia="Times New Roman" w:hAnsi="Garamond" w:cs="Times New Roman"/>
          <w:bCs/>
          <w:sz w:val="24"/>
          <w:szCs w:val="24"/>
          <w:lang w:eastAsia="it-IT"/>
        </w:rPr>
        <w:t>di modalità</w:t>
      </w:r>
      <w:r w:rsidR="00240C3E" w:rsidRPr="009D20FE">
        <w:rPr>
          <w:rFonts w:ascii="Garamond" w:eastAsia="Times New Roman" w:hAnsi="Garamond" w:cs="Times New Roman"/>
          <w:bCs/>
          <w:sz w:val="24"/>
          <w:szCs w:val="24"/>
          <w:lang w:eastAsia="it-IT"/>
        </w:rPr>
        <w:t xml:space="preserve"> anche informatiche e promuovono il ricorso a strumenti di crittografia per garantire la riservatezza dell'identit</w:t>
      </w:r>
      <w:r w:rsidR="00240C3E">
        <w:rPr>
          <w:rFonts w:ascii="Garamond" w:eastAsia="Times New Roman" w:hAnsi="Garamond" w:cs="Times New Roman"/>
          <w:bCs/>
          <w:sz w:val="24"/>
          <w:szCs w:val="24"/>
          <w:lang w:eastAsia="it-IT"/>
        </w:rPr>
        <w:t xml:space="preserve">à </w:t>
      </w:r>
      <w:r w:rsidR="00240C3E" w:rsidRPr="009D20FE">
        <w:rPr>
          <w:rFonts w:ascii="Garamond" w:eastAsia="Times New Roman" w:hAnsi="Garamond" w:cs="Times New Roman"/>
          <w:bCs/>
          <w:sz w:val="24"/>
          <w:szCs w:val="24"/>
          <w:lang w:eastAsia="it-IT"/>
        </w:rPr>
        <w:t>del segnalante e per il contenuto delle segnalazioni e della relativa documentazione</w:t>
      </w:r>
    </w:p>
    <w:p w14:paraId="4CB75C15" w14:textId="35CE8352" w:rsidR="00AF10D0" w:rsidRDefault="006431CA" w:rsidP="00AF10D0">
      <w:pPr>
        <w:jc w:val="both"/>
        <w:rPr>
          <w:rFonts w:ascii="Garamond" w:hAnsi="Garamond"/>
          <w:sz w:val="24"/>
          <w:szCs w:val="24"/>
        </w:rPr>
      </w:pPr>
      <w:r>
        <w:rPr>
          <w:rFonts w:ascii="Garamond" w:eastAsia="Times New Roman" w:hAnsi="Garamond" w:cs="Times New Roman"/>
          <w:bCs/>
          <w:sz w:val="24"/>
          <w:szCs w:val="24"/>
          <w:lang w:eastAsia="it-IT"/>
        </w:rPr>
        <w:t xml:space="preserve">Quanto ai poteri </w:t>
      </w:r>
      <w:r w:rsidR="00B65EB4">
        <w:rPr>
          <w:rFonts w:ascii="Garamond" w:eastAsia="Times New Roman" w:hAnsi="Garamond" w:cs="Times New Roman"/>
          <w:bCs/>
          <w:sz w:val="24"/>
          <w:szCs w:val="24"/>
          <w:lang w:eastAsia="it-IT"/>
        </w:rPr>
        <w:t>sanzionatori</w:t>
      </w:r>
      <w:r>
        <w:rPr>
          <w:rFonts w:ascii="Garamond" w:eastAsia="Times New Roman" w:hAnsi="Garamond" w:cs="Times New Roman"/>
          <w:bCs/>
          <w:sz w:val="24"/>
          <w:szCs w:val="24"/>
          <w:lang w:eastAsia="it-IT"/>
        </w:rPr>
        <w:t xml:space="preserve">, </w:t>
      </w:r>
      <w:r w:rsidR="00FD7F5B">
        <w:rPr>
          <w:rFonts w:ascii="Garamond" w:eastAsia="Times New Roman" w:hAnsi="Garamond" w:cs="Times New Roman"/>
          <w:bCs/>
          <w:sz w:val="24"/>
          <w:szCs w:val="24"/>
          <w:lang w:eastAsia="it-IT"/>
        </w:rPr>
        <w:t>l’art. 54</w:t>
      </w:r>
      <w:r w:rsidR="00FD7F5B" w:rsidRPr="00AF10D0">
        <w:rPr>
          <w:rFonts w:ascii="Garamond" w:eastAsia="Times New Roman" w:hAnsi="Garamond" w:cs="Times New Roman"/>
          <w:bCs/>
          <w:i/>
          <w:iCs/>
          <w:sz w:val="24"/>
          <w:szCs w:val="24"/>
          <w:lang w:eastAsia="it-IT"/>
        </w:rPr>
        <w:t>-bis</w:t>
      </w:r>
      <w:r w:rsidR="00FD7F5B">
        <w:rPr>
          <w:rFonts w:ascii="Garamond" w:eastAsia="Times New Roman" w:hAnsi="Garamond" w:cs="Times New Roman"/>
          <w:bCs/>
          <w:sz w:val="24"/>
          <w:szCs w:val="24"/>
          <w:lang w:eastAsia="it-IT"/>
        </w:rPr>
        <w:t xml:space="preserve">, al comma 6, tipizza le </w:t>
      </w:r>
      <w:r w:rsidR="00AF10D0">
        <w:rPr>
          <w:rFonts w:ascii="Garamond" w:eastAsia="Times New Roman" w:hAnsi="Garamond" w:cs="Times New Roman"/>
          <w:bCs/>
          <w:sz w:val="24"/>
          <w:szCs w:val="24"/>
          <w:lang w:eastAsia="it-IT"/>
        </w:rPr>
        <w:t xml:space="preserve">tre </w:t>
      </w:r>
      <w:r w:rsidR="00FD7F5B">
        <w:rPr>
          <w:rFonts w:ascii="Garamond" w:eastAsia="Times New Roman" w:hAnsi="Garamond" w:cs="Times New Roman"/>
          <w:bCs/>
          <w:sz w:val="24"/>
          <w:szCs w:val="24"/>
          <w:lang w:eastAsia="it-IT"/>
        </w:rPr>
        <w:t xml:space="preserve">fattispecie al ricorrere delle quali è attribuito all’Anac il potere di irrogare sanzioni amministrative pecuniarie, nel tetto edittale fissato dal legislatore. </w:t>
      </w:r>
    </w:p>
    <w:p w14:paraId="37F4E20B" w14:textId="6CA07CE4" w:rsidR="00AF10D0" w:rsidRDefault="00FD7F5B" w:rsidP="00AF10D0">
      <w:pPr>
        <w:jc w:val="both"/>
        <w:rPr>
          <w:rFonts w:ascii="Garamond" w:hAnsi="Garamond"/>
          <w:sz w:val="24"/>
          <w:szCs w:val="24"/>
        </w:rPr>
      </w:pPr>
      <w:r>
        <w:rPr>
          <w:rFonts w:ascii="Garamond" w:eastAsia="Times New Roman" w:hAnsi="Garamond" w:cs="Times New Roman"/>
          <w:bCs/>
          <w:sz w:val="24"/>
          <w:szCs w:val="24"/>
          <w:lang w:eastAsia="it-IT"/>
        </w:rPr>
        <w:t xml:space="preserve">La prima è l’adozione </w:t>
      </w:r>
      <w:r w:rsidRPr="006431CA">
        <w:rPr>
          <w:rFonts w:ascii="Garamond" w:hAnsi="Garamond"/>
          <w:sz w:val="24"/>
          <w:szCs w:val="24"/>
        </w:rPr>
        <w:t>di misure discriminatorie da parte di una delle amministrazioni pubbliche o di uno degli enti di cui al comma 2</w:t>
      </w:r>
      <w:r>
        <w:rPr>
          <w:rFonts w:ascii="Garamond" w:hAnsi="Garamond"/>
          <w:sz w:val="24"/>
          <w:szCs w:val="24"/>
        </w:rPr>
        <w:t xml:space="preserve"> (ente pubblico economico; ente privato controllato o anche di impresa che fornisce beni o servizi in favore della p.a.)</w:t>
      </w:r>
      <w:r>
        <w:rPr>
          <w:rFonts w:ascii="Garamond" w:eastAsia="Times New Roman" w:hAnsi="Garamond" w:cs="Times New Roman"/>
          <w:bCs/>
          <w:sz w:val="24"/>
          <w:szCs w:val="24"/>
          <w:lang w:eastAsia="it-IT"/>
        </w:rPr>
        <w:t>,</w:t>
      </w:r>
      <w:r w:rsidR="00AF10D0">
        <w:rPr>
          <w:rFonts w:ascii="Garamond" w:eastAsia="Times New Roman" w:hAnsi="Garamond" w:cs="Times New Roman"/>
          <w:bCs/>
          <w:sz w:val="24"/>
          <w:szCs w:val="24"/>
          <w:lang w:eastAsia="it-IT"/>
        </w:rPr>
        <w:t xml:space="preserve"> </w:t>
      </w:r>
      <w:r w:rsidR="006431CA" w:rsidRPr="006431CA">
        <w:rPr>
          <w:rFonts w:ascii="Garamond" w:hAnsi="Garamond"/>
          <w:sz w:val="24"/>
          <w:szCs w:val="24"/>
        </w:rPr>
        <w:t>accertata nell'ambito dell'istruttoria condotta dall'</w:t>
      </w:r>
      <w:r w:rsidR="000B0202">
        <w:rPr>
          <w:rFonts w:ascii="Garamond" w:hAnsi="Garamond"/>
          <w:sz w:val="24"/>
          <w:szCs w:val="24"/>
        </w:rPr>
        <w:t>Anac</w:t>
      </w:r>
      <w:r>
        <w:rPr>
          <w:rFonts w:ascii="Garamond" w:hAnsi="Garamond"/>
          <w:sz w:val="24"/>
          <w:szCs w:val="24"/>
        </w:rPr>
        <w:t xml:space="preserve">. </w:t>
      </w:r>
      <w:r w:rsidR="00B80A50" w:rsidRPr="00B80A50">
        <w:rPr>
          <w:rFonts w:ascii="Garamond" w:hAnsi="Garamond"/>
          <w:sz w:val="24"/>
          <w:szCs w:val="24"/>
        </w:rPr>
        <w:t>È a carico dell’amministrazione</w:t>
      </w:r>
      <w:r w:rsidR="00B80A50">
        <w:rPr>
          <w:rFonts w:ascii="Garamond" w:hAnsi="Garamond"/>
          <w:sz w:val="24"/>
          <w:szCs w:val="24"/>
        </w:rPr>
        <w:t xml:space="preserve"> </w:t>
      </w:r>
      <w:r w:rsidR="00B80A50" w:rsidRPr="00B80A50">
        <w:rPr>
          <w:rFonts w:ascii="Garamond" w:hAnsi="Garamond"/>
          <w:sz w:val="24"/>
          <w:szCs w:val="24"/>
        </w:rPr>
        <w:t>l’onere di provare che l’avvenuta segnalazione non sia in alcun modo collegata casualmente alla misura ritenuta ritorsiva</w:t>
      </w:r>
      <w:r w:rsidR="00B80A50">
        <w:rPr>
          <w:rFonts w:ascii="Garamond" w:hAnsi="Garamond"/>
          <w:sz w:val="24"/>
          <w:szCs w:val="24"/>
        </w:rPr>
        <w:t>.</w:t>
      </w:r>
      <w:r w:rsidR="00B80A50" w:rsidRPr="00B80A50">
        <w:rPr>
          <w:rFonts w:ascii="Garamond" w:hAnsi="Garamond"/>
          <w:sz w:val="24"/>
          <w:szCs w:val="24"/>
        </w:rPr>
        <w:t xml:space="preserve"> </w:t>
      </w:r>
      <w:r w:rsidR="00B80A50">
        <w:rPr>
          <w:rFonts w:ascii="Garamond" w:hAnsi="Garamond"/>
          <w:sz w:val="24"/>
          <w:szCs w:val="24"/>
        </w:rPr>
        <w:t xml:space="preserve">Nel caso in cui l’Autorità accerti che </w:t>
      </w:r>
      <w:r w:rsidR="00B80A50" w:rsidRPr="00B80A50">
        <w:rPr>
          <w:rFonts w:ascii="Garamond" w:hAnsi="Garamond"/>
          <w:sz w:val="24"/>
          <w:szCs w:val="24"/>
        </w:rPr>
        <w:t>la misura ritorsiva sia conseguente alla segnalazione di illeciti</w:t>
      </w:r>
      <w:r>
        <w:rPr>
          <w:rFonts w:ascii="Garamond" w:hAnsi="Garamond"/>
          <w:sz w:val="24"/>
          <w:szCs w:val="24"/>
        </w:rPr>
        <w:t xml:space="preserve">, </w:t>
      </w:r>
      <w:r w:rsidR="006431CA" w:rsidRPr="006431CA">
        <w:rPr>
          <w:rFonts w:ascii="Garamond" w:hAnsi="Garamond"/>
          <w:sz w:val="24"/>
          <w:szCs w:val="24"/>
        </w:rPr>
        <w:t>fermi restando gli altri profili di responsabilit</w:t>
      </w:r>
      <w:r w:rsidR="006431CA">
        <w:rPr>
          <w:rFonts w:ascii="Garamond" w:hAnsi="Garamond"/>
          <w:sz w:val="24"/>
          <w:szCs w:val="24"/>
        </w:rPr>
        <w:t xml:space="preserve">à, </w:t>
      </w:r>
      <w:r w:rsidR="006431CA" w:rsidRPr="006431CA">
        <w:rPr>
          <w:rFonts w:ascii="Garamond" w:hAnsi="Garamond"/>
          <w:sz w:val="24"/>
          <w:szCs w:val="24"/>
        </w:rPr>
        <w:t>l'A</w:t>
      </w:r>
      <w:r w:rsidR="006431CA">
        <w:rPr>
          <w:rFonts w:ascii="Garamond" w:hAnsi="Garamond"/>
          <w:sz w:val="24"/>
          <w:szCs w:val="24"/>
        </w:rPr>
        <w:t xml:space="preserve">nac </w:t>
      </w:r>
      <w:r w:rsidR="006431CA" w:rsidRPr="006431CA">
        <w:rPr>
          <w:rFonts w:ascii="Garamond" w:hAnsi="Garamond"/>
          <w:sz w:val="24"/>
          <w:szCs w:val="24"/>
        </w:rPr>
        <w:t xml:space="preserve">applica al responsabile che ha adottato tale misura una sanzione amministrativa pecuniaria da 5.000 a 30.000 euro. </w:t>
      </w:r>
      <w:r w:rsidR="00B80A50" w:rsidRPr="00B80A50">
        <w:rPr>
          <w:rFonts w:ascii="Garamond" w:hAnsi="Garamond"/>
          <w:sz w:val="24"/>
          <w:szCs w:val="24"/>
        </w:rPr>
        <w:t>Restano esclusi dall’ambito di applicazione del potere sanzionatorio dell’A</w:t>
      </w:r>
      <w:r w:rsidR="00234B55">
        <w:rPr>
          <w:rFonts w:ascii="Garamond" w:hAnsi="Garamond"/>
          <w:sz w:val="24"/>
          <w:szCs w:val="24"/>
        </w:rPr>
        <w:t>nac</w:t>
      </w:r>
      <w:r w:rsidR="00B80A50" w:rsidRPr="00B80A50">
        <w:rPr>
          <w:rFonts w:ascii="Garamond" w:hAnsi="Garamond"/>
          <w:sz w:val="24"/>
          <w:szCs w:val="24"/>
        </w:rPr>
        <w:t xml:space="preserve"> i meri comportamenti dell’Amministrazione, in relazione ai quali il dipendente può comunque chiedere tutela davanti all’Autorità giudiziaria (es. </w:t>
      </w:r>
      <w:r w:rsidR="00B80A50" w:rsidRPr="00B80A50">
        <w:rPr>
          <w:rFonts w:ascii="Garamond" w:hAnsi="Garamond"/>
          <w:i/>
          <w:sz w:val="24"/>
          <w:szCs w:val="24"/>
        </w:rPr>
        <w:t>mobbing</w:t>
      </w:r>
      <w:r w:rsidR="00B80A50" w:rsidRPr="00B80A50">
        <w:rPr>
          <w:rFonts w:ascii="Garamond" w:hAnsi="Garamond"/>
          <w:sz w:val="24"/>
          <w:szCs w:val="24"/>
        </w:rPr>
        <w:t>).</w:t>
      </w:r>
    </w:p>
    <w:p w14:paraId="4EA5CA9D" w14:textId="16D8FD27" w:rsidR="00AF10D0" w:rsidRDefault="000B0202" w:rsidP="00AF10D0">
      <w:pPr>
        <w:jc w:val="both"/>
        <w:rPr>
          <w:rFonts w:ascii="Garamond" w:hAnsi="Garamond"/>
          <w:sz w:val="24"/>
          <w:szCs w:val="24"/>
        </w:rPr>
      </w:pPr>
      <w:r>
        <w:rPr>
          <w:rFonts w:ascii="Garamond" w:hAnsi="Garamond"/>
          <w:sz w:val="24"/>
          <w:szCs w:val="24"/>
        </w:rPr>
        <w:t>La seconda fattispecie attiene al</w:t>
      </w:r>
      <w:r w:rsidR="006431CA" w:rsidRPr="006431CA">
        <w:rPr>
          <w:rFonts w:ascii="Garamond" w:hAnsi="Garamond"/>
          <w:sz w:val="24"/>
          <w:szCs w:val="24"/>
        </w:rPr>
        <w:t xml:space="preserve">l'assenza di procedure per l'inoltro e la gestione delle segnalazioni ovvero l'adozione di procedure non conformi a quelle </w:t>
      </w:r>
      <w:r w:rsidR="006431CA">
        <w:rPr>
          <w:rFonts w:ascii="Garamond" w:hAnsi="Garamond"/>
          <w:sz w:val="24"/>
          <w:szCs w:val="24"/>
        </w:rPr>
        <w:t>previste dall’Anac</w:t>
      </w:r>
      <w:r>
        <w:rPr>
          <w:rFonts w:ascii="Garamond" w:hAnsi="Garamond"/>
          <w:sz w:val="24"/>
          <w:szCs w:val="24"/>
        </w:rPr>
        <w:t>; in tal caso,</w:t>
      </w:r>
      <w:r w:rsidR="006431CA" w:rsidRPr="006431CA">
        <w:rPr>
          <w:rFonts w:ascii="Garamond" w:hAnsi="Garamond"/>
          <w:sz w:val="24"/>
          <w:szCs w:val="24"/>
        </w:rPr>
        <w:t xml:space="preserve"> l'A</w:t>
      </w:r>
      <w:r w:rsidR="006431CA">
        <w:rPr>
          <w:rFonts w:ascii="Garamond" w:hAnsi="Garamond"/>
          <w:sz w:val="24"/>
          <w:szCs w:val="24"/>
        </w:rPr>
        <w:t>utorità</w:t>
      </w:r>
      <w:r w:rsidR="006431CA" w:rsidRPr="006431CA">
        <w:rPr>
          <w:rFonts w:ascii="Garamond" w:hAnsi="Garamond"/>
          <w:sz w:val="24"/>
          <w:szCs w:val="24"/>
        </w:rPr>
        <w:t xml:space="preserve"> applica al responsabile la sanzione amministrativa pecuniaria da 10.000 a 50.000 euro. </w:t>
      </w:r>
    </w:p>
    <w:p w14:paraId="7981C482" w14:textId="73FD99FD" w:rsidR="006431CA" w:rsidRDefault="006431CA" w:rsidP="00AF10D0">
      <w:pPr>
        <w:jc w:val="both"/>
        <w:rPr>
          <w:rFonts w:ascii="Garamond" w:hAnsi="Garamond"/>
          <w:sz w:val="24"/>
          <w:szCs w:val="24"/>
        </w:rPr>
      </w:pPr>
      <w:r>
        <w:rPr>
          <w:rFonts w:ascii="Garamond" w:hAnsi="Garamond"/>
          <w:sz w:val="24"/>
          <w:szCs w:val="24"/>
        </w:rPr>
        <w:lastRenderedPageBreak/>
        <w:t>Infine, q</w:t>
      </w:r>
      <w:r w:rsidRPr="006431CA">
        <w:rPr>
          <w:rFonts w:ascii="Garamond" w:hAnsi="Garamond"/>
          <w:sz w:val="24"/>
          <w:szCs w:val="24"/>
        </w:rPr>
        <w:t>ualora venga accertato il mancato svolgimento da parte del responsabile di attivit</w:t>
      </w:r>
      <w:r>
        <w:rPr>
          <w:rFonts w:ascii="Garamond" w:hAnsi="Garamond"/>
          <w:sz w:val="24"/>
          <w:szCs w:val="24"/>
        </w:rPr>
        <w:t xml:space="preserve">à </w:t>
      </w:r>
      <w:r w:rsidRPr="006431CA">
        <w:rPr>
          <w:rFonts w:ascii="Garamond" w:hAnsi="Garamond"/>
          <w:sz w:val="24"/>
          <w:szCs w:val="24"/>
        </w:rPr>
        <w:t xml:space="preserve">di verifica e analisi delle segnalazioni ricevute, si applica al responsabile la sanzione amministrativa pecuniaria da 10.000 a 50.000 euro. </w:t>
      </w:r>
    </w:p>
    <w:p w14:paraId="5866DC81" w14:textId="77777777" w:rsidR="00053B45" w:rsidRDefault="00053B45" w:rsidP="00AF10D0">
      <w:pPr>
        <w:jc w:val="both"/>
        <w:rPr>
          <w:rFonts w:ascii="Garamond" w:hAnsi="Garamond"/>
          <w:sz w:val="24"/>
          <w:szCs w:val="24"/>
        </w:rPr>
      </w:pPr>
      <w:r w:rsidRPr="00053B45">
        <w:rPr>
          <w:rFonts w:ascii="Garamond" w:hAnsi="Garamond"/>
          <w:sz w:val="24"/>
          <w:szCs w:val="24"/>
        </w:rPr>
        <w:t>ANAC, nell’esercizio del proprio potere regolatorio è, tra l’altro, direttamente investita dalla l. 179 del compito di adottare apposite Linee guida relative alle procedure per la presentazione e la gestione delle segnalazioni, sentito il Garante per la protezione dei dati personali</w:t>
      </w:r>
      <w:r>
        <w:rPr>
          <w:rFonts w:ascii="Garamond" w:hAnsi="Garamond"/>
          <w:sz w:val="24"/>
          <w:szCs w:val="24"/>
        </w:rPr>
        <w:t>.</w:t>
      </w:r>
    </w:p>
    <w:p w14:paraId="51599031" w14:textId="68C30FE1" w:rsidR="00AF10D0" w:rsidRPr="001B3268" w:rsidRDefault="00AF10D0" w:rsidP="00AF10D0">
      <w:pPr>
        <w:jc w:val="both"/>
        <w:rPr>
          <w:rFonts w:ascii="Garamond" w:hAnsi="Garamond"/>
          <w:i/>
          <w:sz w:val="24"/>
          <w:szCs w:val="24"/>
        </w:rPr>
      </w:pPr>
      <w:r>
        <w:rPr>
          <w:rFonts w:ascii="Garamond" w:hAnsi="Garamond"/>
          <w:sz w:val="24"/>
          <w:szCs w:val="24"/>
        </w:rPr>
        <w:t>In tutti e tre i casi, l’</w:t>
      </w:r>
      <w:r w:rsidRPr="006431CA">
        <w:rPr>
          <w:rFonts w:ascii="Garamond" w:hAnsi="Garamond"/>
          <w:sz w:val="24"/>
          <w:szCs w:val="24"/>
        </w:rPr>
        <w:t>A</w:t>
      </w:r>
      <w:r>
        <w:rPr>
          <w:rFonts w:ascii="Garamond" w:hAnsi="Garamond"/>
          <w:sz w:val="24"/>
          <w:szCs w:val="24"/>
        </w:rPr>
        <w:t>nac</w:t>
      </w:r>
      <w:r w:rsidRPr="006431CA">
        <w:rPr>
          <w:rFonts w:ascii="Garamond" w:hAnsi="Garamond"/>
          <w:sz w:val="24"/>
          <w:szCs w:val="24"/>
        </w:rPr>
        <w:t xml:space="preserve"> determina l'entit</w:t>
      </w:r>
      <w:r>
        <w:rPr>
          <w:rFonts w:ascii="Garamond" w:hAnsi="Garamond"/>
          <w:sz w:val="24"/>
          <w:szCs w:val="24"/>
        </w:rPr>
        <w:t>à</w:t>
      </w:r>
      <w:r w:rsidRPr="006431CA">
        <w:rPr>
          <w:rFonts w:ascii="Garamond" w:hAnsi="Garamond"/>
          <w:sz w:val="24"/>
          <w:szCs w:val="24"/>
        </w:rPr>
        <w:t xml:space="preserve"> della sanzione tenuto conto delle dimensioni dell'amministrazione o dell'ente cui si riferisce la segnalazione.</w:t>
      </w:r>
      <w:r>
        <w:rPr>
          <w:rFonts w:ascii="Garamond" w:hAnsi="Garamond"/>
          <w:sz w:val="24"/>
          <w:szCs w:val="24"/>
        </w:rPr>
        <w:t xml:space="preserve"> La procedura</w:t>
      </w:r>
      <w:r w:rsidR="001B3268">
        <w:rPr>
          <w:rFonts w:ascii="Garamond" w:hAnsi="Garamond"/>
          <w:sz w:val="24"/>
          <w:szCs w:val="24"/>
        </w:rPr>
        <w:t xml:space="preserve"> sanzionatoria è </w:t>
      </w:r>
      <w:r w:rsidR="000B0202">
        <w:rPr>
          <w:rFonts w:ascii="Garamond" w:hAnsi="Garamond"/>
          <w:sz w:val="24"/>
          <w:szCs w:val="24"/>
        </w:rPr>
        <w:t>disciplinata dal</w:t>
      </w:r>
      <w:r w:rsidR="008158E7">
        <w:rPr>
          <w:rFonts w:ascii="Garamond" w:hAnsi="Garamond"/>
          <w:sz w:val="24"/>
          <w:szCs w:val="24"/>
        </w:rPr>
        <w:t xml:space="preserve">la </w:t>
      </w:r>
      <w:r w:rsidR="008158E7" w:rsidRPr="008158E7">
        <w:rPr>
          <w:rFonts w:ascii="Garamond" w:hAnsi="Garamond"/>
          <w:b/>
          <w:sz w:val="24"/>
          <w:szCs w:val="24"/>
        </w:rPr>
        <w:t>Delibera n. 690 del 1 luglio 2020</w:t>
      </w:r>
      <w:r w:rsidR="008158E7">
        <w:rPr>
          <w:rFonts w:ascii="Garamond" w:hAnsi="Garamond"/>
          <w:b/>
          <w:sz w:val="24"/>
          <w:szCs w:val="24"/>
        </w:rPr>
        <w:t xml:space="preserve"> </w:t>
      </w:r>
      <w:r w:rsidR="008158E7" w:rsidRPr="008158E7">
        <w:rPr>
          <w:rFonts w:ascii="Garamond" w:hAnsi="Garamond"/>
          <w:sz w:val="24"/>
          <w:szCs w:val="24"/>
        </w:rPr>
        <w:t xml:space="preserve">recante </w:t>
      </w:r>
      <w:r w:rsidR="008158E7" w:rsidRPr="008158E7">
        <w:rPr>
          <w:rFonts w:ascii="Garamond" w:hAnsi="Garamond"/>
          <w:i/>
          <w:sz w:val="24"/>
          <w:szCs w:val="24"/>
        </w:rPr>
        <w:t>«Regolamento per la gestione delle segnalazioni e per l'esercizio del potere sanzionatorio in materia di tutela degli autori di segnalazioni di illeciti o irregolarità di cui siano venuti a conoscenza nell'ambito di un rapporto di lavoro di cui all'articolo 54-bis del decreto legislativo n. 165/2001</w:t>
      </w:r>
      <w:r w:rsidR="008158E7">
        <w:rPr>
          <w:rFonts w:ascii="Garamond" w:hAnsi="Garamond"/>
          <w:sz w:val="24"/>
          <w:szCs w:val="24"/>
        </w:rPr>
        <w:t>» (GU n. 205 del 18.8.2020).</w:t>
      </w:r>
    </w:p>
    <w:p w14:paraId="60DF108A" w14:textId="65B6474B" w:rsidR="00AF10D0" w:rsidRPr="00AF10D0" w:rsidRDefault="00AF10D0" w:rsidP="00AF10D0">
      <w:pPr>
        <w:jc w:val="both"/>
        <w:rPr>
          <w:rFonts w:ascii="Garamond" w:hAnsi="Garamond"/>
          <w:sz w:val="24"/>
          <w:szCs w:val="24"/>
        </w:rPr>
      </w:pPr>
      <w:r>
        <w:rPr>
          <w:rFonts w:ascii="Garamond" w:hAnsi="Garamond"/>
          <w:sz w:val="24"/>
          <w:szCs w:val="24"/>
        </w:rPr>
        <w:t xml:space="preserve">Le sanzioni in materia di </w:t>
      </w:r>
      <w:r w:rsidRPr="001B3268">
        <w:rPr>
          <w:rFonts w:ascii="Garamond" w:hAnsi="Garamond"/>
          <w:i/>
          <w:sz w:val="24"/>
          <w:szCs w:val="24"/>
        </w:rPr>
        <w:t>whistleblowing</w:t>
      </w:r>
      <w:r>
        <w:rPr>
          <w:rFonts w:ascii="Garamond" w:hAnsi="Garamond"/>
          <w:sz w:val="24"/>
          <w:szCs w:val="24"/>
        </w:rPr>
        <w:t xml:space="preserve"> sono incassate da</w:t>
      </w:r>
      <w:r w:rsidR="008158E7">
        <w:rPr>
          <w:rFonts w:ascii="Garamond" w:hAnsi="Garamond"/>
          <w:sz w:val="24"/>
          <w:szCs w:val="24"/>
        </w:rPr>
        <w:t>l</w:t>
      </w:r>
      <w:r>
        <w:rPr>
          <w:rFonts w:ascii="Garamond" w:hAnsi="Garamond"/>
          <w:sz w:val="24"/>
          <w:szCs w:val="24"/>
        </w:rPr>
        <w:t xml:space="preserve">l’Anac e i relativi importi trasferiti al bilancio dello Stato, non essendo espressamente prevista – per queste ipotesi – una destinazione diversa, come accade per le sanzioni irrogate dall’Autorità in caso di </w:t>
      </w:r>
      <w:r w:rsidRPr="00AF10D0">
        <w:rPr>
          <w:rFonts w:ascii="Garamond" w:hAnsi="Garamond"/>
          <w:sz w:val="24"/>
          <w:szCs w:val="24"/>
        </w:rPr>
        <w:t>dei piani triennali di prevenzione  della</w:t>
      </w:r>
      <w:r>
        <w:rPr>
          <w:rFonts w:ascii="Garamond" w:hAnsi="Garamond"/>
          <w:sz w:val="24"/>
          <w:szCs w:val="24"/>
        </w:rPr>
        <w:t xml:space="preserve"> </w:t>
      </w:r>
      <w:r w:rsidRPr="00AF10D0">
        <w:rPr>
          <w:rFonts w:ascii="Garamond" w:hAnsi="Garamond"/>
          <w:sz w:val="24"/>
          <w:szCs w:val="24"/>
        </w:rPr>
        <w:t>corruzione, dei programmi triennali di trasparenza o  dei  codici  di</w:t>
      </w:r>
      <w:r>
        <w:rPr>
          <w:rFonts w:ascii="Garamond" w:hAnsi="Garamond"/>
          <w:sz w:val="24"/>
          <w:szCs w:val="24"/>
        </w:rPr>
        <w:t xml:space="preserve"> </w:t>
      </w:r>
      <w:r w:rsidRPr="00AF10D0">
        <w:rPr>
          <w:rFonts w:ascii="Garamond" w:hAnsi="Garamond"/>
          <w:sz w:val="24"/>
          <w:szCs w:val="24"/>
        </w:rPr>
        <w:t>comportamento</w:t>
      </w:r>
      <w:r>
        <w:rPr>
          <w:rFonts w:ascii="Garamond" w:hAnsi="Garamond"/>
          <w:sz w:val="24"/>
          <w:szCs w:val="24"/>
        </w:rPr>
        <w:t xml:space="preserve">, le quali per espressa previsione di legge </w:t>
      </w:r>
      <w:r w:rsidRPr="00AF10D0">
        <w:rPr>
          <w:rFonts w:ascii="Garamond" w:hAnsi="Garamond"/>
          <w:sz w:val="24"/>
          <w:szCs w:val="24"/>
        </w:rPr>
        <w:t>restano   nella</w:t>
      </w:r>
      <w:r>
        <w:rPr>
          <w:rFonts w:ascii="Garamond" w:hAnsi="Garamond"/>
          <w:sz w:val="24"/>
          <w:szCs w:val="24"/>
        </w:rPr>
        <w:t xml:space="preserve"> </w:t>
      </w:r>
      <w:r w:rsidR="009D3755">
        <w:rPr>
          <w:rFonts w:ascii="Garamond" w:hAnsi="Garamond"/>
          <w:sz w:val="24"/>
          <w:szCs w:val="24"/>
        </w:rPr>
        <w:t xml:space="preserve">disponibilità </w:t>
      </w:r>
      <w:r w:rsidRPr="00AF10D0">
        <w:rPr>
          <w:rFonts w:ascii="Garamond" w:hAnsi="Garamond"/>
          <w:sz w:val="24"/>
          <w:szCs w:val="24"/>
        </w:rPr>
        <w:t>dell’Autorità  nazionale   anticorruzione   e   sono</w:t>
      </w:r>
      <w:r>
        <w:rPr>
          <w:rFonts w:ascii="Garamond" w:hAnsi="Garamond"/>
          <w:sz w:val="24"/>
          <w:szCs w:val="24"/>
        </w:rPr>
        <w:t xml:space="preserve"> </w:t>
      </w:r>
      <w:r w:rsidRPr="00AF10D0">
        <w:rPr>
          <w:rFonts w:ascii="Garamond" w:hAnsi="Garamond"/>
          <w:sz w:val="24"/>
          <w:szCs w:val="24"/>
        </w:rPr>
        <w:t xml:space="preserve">utilizzabili per le </w:t>
      </w:r>
      <w:r>
        <w:rPr>
          <w:rFonts w:ascii="Garamond" w:hAnsi="Garamond"/>
          <w:sz w:val="24"/>
          <w:szCs w:val="24"/>
        </w:rPr>
        <w:t>sue attività</w:t>
      </w:r>
      <w:r w:rsidRPr="00AF10D0">
        <w:rPr>
          <w:rFonts w:ascii="Garamond" w:hAnsi="Garamond"/>
          <w:sz w:val="24"/>
          <w:szCs w:val="24"/>
        </w:rPr>
        <w:t xml:space="preserve"> istituzionali</w:t>
      </w:r>
      <w:r>
        <w:rPr>
          <w:rFonts w:ascii="Garamond" w:hAnsi="Garamond"/>
          <w:sz w:val="24"/>
          <w:szCs w:val="24"/>
        </w:rPr>
        <w:t xml:space="preserve"> </w:t>
      </w:r>
      <w:r w:rsidRPr="00AF10D0">
        <w:rPr>
          <w:rFonts w:ascii="Garamond" w:hAnsi="Garamond"/>
          <w:sz w:val="24"/>
          <w:szCs w:val="24"/>
        </w:rPr>
        <w:t>(art. 19, comma 6, d.l. n. 90/2014).</w:t>
      </w:r>
    </w:p>
    <w:p w14:paraId="31FC63C2" w14:textId="5E3028F7" w:rsidR="00801584" w:rsidRPr="00053B45" w:rsidRDefault="00801584" w:rsidP="0043030E">
      <w:pPr>
        <w:jc w:val="both"/>
        <w:rPr>
          <w:rFonts w:ascii="Garamond" w:hAnsi="Garamond"/>
          <w:b/>
          <w:sz w:val="24"/>
          <w:szCs w:val="24"/>
        </w:rPr>
      </w:pPr>
    </w:p>
    <w:sectPr w:rsidR="00801584" w:rsidRPr="00053B45">
      <w:footerReference w:type="default" r:id="rId15"/>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4B00F2" w14:textId="77777777" w:rsidR="00FA25E2" w:rsidRDefault="00FA25E2" w:rsidP="005D7E41">
      <w:pPr>
        <w:spacing w:after="0" w:line="240" w:lineRule="auto"/>
      </w:pPr>
      <w:r>
        <w:separator/>
      </w:r>
    </w:p>
  </w:endnote>
  <w:endnote w:type="continuationSeparator" w:id="0">
    <w:p w14:paraId="428B3744" w14:textId="77777777" w:rsidR="00FA25E2" w:rsidRDefault="00FA25E2" w:rsidP="005D7E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6411634"/>
      <w:docPartObj>
        <w:docPartGallery w:val="Page Numbers (Bottom of Page)"/>
        <w:docPartUnique/>
      </w:docPartObj>
    </w:sdtPr>
    <w:sdtContent>
      <w:p w14:paraId="3BC42ED5" w14:textId="16D7B2E3" w:rsidR="003C2122" w:rsidRDefault="003C2122">
        <w:pPr>
          <w:pStyle w:val="Pidipagina"/>
          <w:jc w:val="center"/>
        </w:pPr>
        <w:r w:rsidRPr="003C2122">
          <w:rPr>
            <w:rFonts w:ascii="Garamond" w:hAnsi="Garamond"/>
          </w:rPr>
          <w:fldChar w:fldCharType="begin"/>
        </w:r>
        <w:r w:rsidRPr="003C2122">
          <w:rPr>
            <w:rFonts w:ascii="Garamond" w:hAnsi="Garamond"/>
          </w:rPr>
          <w:instrText>PAGE   \* MERGEFORMAT</w:instrText>
        </w:r>
        <w:r w:rsidRPr="003C2122">
          <w:rPr>
            <w:rFonts w:ascii="Garamond" w:hAnsi="Garamond"/>
          </w:rPr>
          <w:fldChar w:fldCharType="separate"/>
        </w:r>
        <w:r w:rsidR="008158E7">
          <w:rPr>
            <w:rFonts w:ascii="Garamond" w:hAnsi="Garamond"/>
            <w:noProof/>
          </w:rPr>
          <w:t>14</w:t>
        </w:r>
        <w:r w:rsidRPr="003C2122">
          <w:rPr>
            <w:rFonts w:ascii="Garamond" w:hAnsi="Garamond"/>
          </w:rPr>
          <w:fldChar w:fldCharType="end"/>
        </w:r>
      </w:p>
    </w:sdtContent>
  </w:sdt>
  <w:p w14:paraId="70458508" w14:textId="77777777" w:rsidR="003C2122" w:rsidRDefault="003C212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7586ED" w14:textId="77777777" w:rsidR="00FA25E2" w:rsidRDefault="00FA25E2" w:rsidP="005D7E41">
      <w:pPr>
        <w:spacing w:after="0" w:line="240" w:lineRule="auto"/>
      </w:pPr>
      <w:r>
        <w:separator/>
      </w:r>
    </w:p>
  </w:footnote>
  <w:footnote w:type="continuationSeparator" w:id="0">
    <w:p w14:paraId="50C26A85" w14:textId="77777777" w:rsidR="00FA25E2" w:rsidRDefault="00FA25E2" w:rsidP="005D7E41">
      <w:pPr>
        <w:spacing w:after="0" w:line="240" w:lineRule="auto"/>
      </w:pPr>
      <w:r>
        <w:continuationSeparator/>
      </w:r>
    </w:p>
  </w:footnote>
  <w:footnote w:id="1">
    <w:p w14:paraId="58D8DDFF" w14:textId="5E6625A2" w:rsidR="009D188E" w:rsidRPr="003B005C" w:rsidRDefault="009D188E" w:rsidP="003B005C">
      <w:pPr>
        <w:pStyle w:val="Testonotaapidipagina"/>
        <w:jc w:val="both"/>
        <w:rPr>
          <w:rFonts w:ascii="Garamond" w:hAnsi="Garamond"/>
        </w:rPr>
      </w:pPr>
      <w:r w:rsidRPr="003B005C">
        <w:rPr>
          <w:rStyle w:val="Rimandonotaapidipagina"/>
          <w:rFonts w:ascii="Garamond" w:hAnsi="Garamond"/>
        </w:rPr>
        <w:footnoteRef/>
      </w:r>
      <w:r w:rsidRPr="003B005C">
        <w:rPr>
          <w:rFonts w:ascii="Garamond" w:hAnsi="Garamond"/>
        </w:rPr>
        <w:t xml:space="preserve"> Benché si tratti una riflessione unitaria e indivisa, </w:t>
      </w:r>
      <w:r w:rsidR="007A7D71" w:rsidRPr="003B005C">
        <w:rPr>
          <w:rFonts w:ascii="Garamond" w:hAnsi="Garamond"/>
        </w:rPr>
        <w:t xml:space="preserve">a </w:t>
      </w:r>
      <w:r w:rsidRPr="003B005C">
        <w:rPr>
          <w:rFonts w:ascii="Garamond" w:hAnsi="Garamond"/>
        </w:rPr>
        <w:t>Veronica Varone</w:t>
      </w:r>
      <w:r w:rsidR="007A7D71" w:rsidRPr="003B005C">
        <w:rPr>
          <w:rFonts w:ascii="Garamond" w:hAnsi="Garamond"/>
        </w:rPr>
        <w:t xml:space="preserve"> sono imputabili i paragrafi 1, 2, 3, 5 e 6</w:t>
      </w:r>
      <w:r w:rsidR="006A5A31" w:rsidRPr="003B005C">
        <w:rPr>
          <w:rFonts w:ascii="Garamond" w:hAnsi="Garamond"/>
        </w:rPr>
        <w:t>,</w:t>
      </w:r>
      <w:r w:rsidR="007A7D71" w:rsidRPr="003B005C">
        <w:rPr>
          <w:rFonts w:ascii="Garamond" w:hAnsi="Garamond"/>
        </w:rPr>
        <w:t xml:space="preserve"> a</w:t>
      </w:r>
      <w:r w:rsidR="006A5A31" w:rsidRPr="003B005C">
        <w:rPr>
          <w:rFonts w:ascii="Garamond" w:hAnsi="Garamond"/>
        </w:rPr>
        <w:t xml:space="preserve"> Massimo Nunziata</w:t>
      </w:r>
      <w:r w:rsidR="00020CEF" w:rsidRPr="003B005C">
        <w:rPr>
          <w:rFonts w:ascii="Garamond" w:hAnsi="Garamond"/>
        </w:rPr>
        <w:t xml:space="preserve"> il paragrafo 4.</w:t>
      </w:r>
    </w:p>
  </w:footnote>
  <w:footnote w:id="2">
    <w:p w14:paraId="73E93C03" w14:textId="4DEC9424" w:rsidR="00C72FAD" w:rsidRPr="003B005C" w:rsidRDefault="00C72FAD" w:rsidP="003B005C">
      <w:pPr>
        <w:pStyle w:val="Testonotaapidipagina"/>
        <w:jc w:val="both"/>
        <w:rPr>
          <w:rFonts w:ascii="Garamond" w:hAnsi="Garamond"/>
        </w:rPr>
      </w:pPr>
      <w:r w:rsidRPr="003B005C">
        <w:rPr>
          <w:rStyle w:val="Rimandonotaapidipagina"/>
          <w:rFonts w:ascii="Garamond" w:hAnsi="Garamond"/>
        </w:rPr>
        <w:footnoteRef/>
      </w:r>
      <w:r w:rsidRPr="003B005C">
        <w:rPr>
          <w:rFonts w:ascii="Garamond" w:hAnsi="Garamond"/>
        </w:rPr>
        <w:t xml:space="preserve"> L’espressione, divenuta celebre, si deve al Cons. Anac </w:t>
      </w:r>
      <w:r w:rsidRPr="003B005C">
        <w:rPr>
          <w:rFonts w:ascii="Garamond" w:hAnsi="Garamond"/>
          <w:smallCaps/>
        </w:rPr>
        <w:t>M. Corradino</w:t>
      </w:r>
      <w:r w:rsidRPr="003B005C">
        <w:rPr>
          <w:rFonts w:ascii="Garamond" w:hAnsi="Garamond"/>
        </w:rPr>
        <w:t xml:space="preserve">, </w:t>
      </w:r>
      <w:r w:rsidRPr="003B005C">
        <w:rPr>
          <w:rFonts w:ascii="Garamond" w:hAnsi="Garamond"/>
          <w:i/>
        </w:rPr>
        <w:t>Prefazione. La circolarità della lotta alla corruzione</w:t>
      </w:r>
      <w:r w:rsidRPr="003B005C">
        <w:rPr>
          <w:rFonts w:ascii="Garamond" w:hAnsi="Garamond"/>
        </w:rPr>
        <w:t xml:space="preserve">, in </w:t>
      </w:r>
      <w:r w:rsidRPr="003B005C">
        <w:rPr>
          <w:rFonts w:ascii="Garamond" w:hAnsi="Garamond"/>
          <w:smallCaps/>
        </w:rPr>
        <w:t>M. Nunziata</w:t>
      </w:r>
      <w:r w:rsidRPr="003B005C">
        <w:rPr>
          <w:rFonts w:ascii="Garamond" w:hAnsi="Garamond"/>
        </w:rPr>
        <w:t xml:space="preserve"> (a cura di), </w:t>
      </w:r>
      <w:r w:rsidRPr="003B005C">
        <w:rPr>
          <w:rFonts w:ascii="Garamond" w:hAnsi="Garamond"/>
          <w:i/>
          <w:iCs/>
        </w:rPr>
        <w:t>Riflessioni in tema di lotta alla corruzione. Rimedi preventivi e repressivi</w:t>
      </w:r>
      <w:r w:rsidRPr="003B005C">
        <w:rPr>
          <w:rFonts w:ascii="Garamond" w:hAnsi="Garamond"/>
          <w:iCs/>
        </w:rPr>
        <w:t>, Roma, 2017.</w:t>
      </w:r>
    </w:p>
  </w:footnote>
  <w:footnote w:id="3">
    <w:p w14:paraId="2F044E21" w14:textId="77777777" w:rsidR="005D7E41" w:rsidRPr="003B005C" w:rsidRDefault="005D7E41" w:rsidP="003B005C">
      <w:pPr>
        <w:pStyle w:val="Testonotaapidipagina"/>
        <w:jc w:val="both"/>
        <w:rPr>
          <w:rFonts w:ascii="Garamond" w:hAnsi="Garamond"/>
        </w:rPr>
      </w:pPr>
      <w:r w:rsidRPr="003B005C">
        <w:rPr>
          <w:rStyle w:val="Rimandonotaapidipagina"/>
          <w:rFonts w:ascii="Garamond" w:hAnsi="Garamond"/>
        </w:rPr>
        <w:footnoteRef/>
      </w:r>
      <w:r w:rsidRPr="003B005C">
        <w:rPr>
          <w:rFonts w:ascii="Garamond" w:hAnsi="Garamond"/>
        </w:rPr>
        <w:t xml:space="preserve"> Sulla riconducibilità della nascita dell’Anac alla l. n. 190/2012, si veda lo scritto di </w:t>
      </w:r>
      <w:r w:rsidRPr="003B005C">
        <w:rPr>
          <w:rFonts w:ascii="Garamond" w:hAnsi="Garamond"/>
          <w:smallCaps/>
        </w:rPr>
        <w:t>F. Giuffrè</w:t>
      </w:r>
      <w:r w:rsidRPr="003B005C">
        <w:rPr>
          <w:rFonts w:ascii="Garamond" w:hAnsi="Garamond"/>
        </w:rPr>
        <w:t xml:space="preserve">, </w:t>
      </w:r>
      <w:r w:rsidRPr="003B005C">
        <w:rPr>
          <w:rFonts w:ascii="Garamond" w:hAnsi="Garamond"/>
          <w:i/>
        </w:rPr>
        <w:t>Le autorità indipendenti nel panorama evolutivo dello stato di diritto</w:t>
      </w:r>
      <w:r w:rsidRPr="003B005C">
        <w:rPr>
          <w:rFonts w:ascii="Garamond" w:hAnsi="Garamond"/>
        </w:rPr>
        <w:t xml:space="preserve">, in </w:t>
      </w:r>
      <w:r w:rsidRPr="003B005C">
        <w:rPr>
          <w:rFonts w:ascii="Garamond" w:hAnsi="Garamond"/>
          <w:smallCaps/>
        </w:rPr>
        <w:t>I.A. Nicotra</w:t>
      </w:r>
      <w:r w:rsidRPr="003B005C">
        <w:rPr>
          <w:rFonts w:ascii="Garamond" w:hAnsi="Garamond"/>
        </w:rPr>
        <w:t xml:space="preserve"> (a cura di), L’</w:t>
      </w:r>
      <w:r w:rsidR="00CE0802" w:rsidRPr="003B005C">
        <w:rPr>
          <w:rFonts w:ascii="Garamond" w:hAnsi="Garamond"/>
        </w:rPr>
        <w:t>A</w:t>
      </w:r>
      <w:r w:rsidR="00CE0802" w:rsidRPr="003B005C">
        <w:rPr>
          <w:rFonts w:ascii="Garamond" w:hAnsi="Garamond"/>
          <w:i/>
        </w:rPr>
        <w:t>utorità</w:t>
      </w:r>
      <w:r w:rsidRPr="003B005C">
        <w:rPr>
          <w:rFonts w:ascii="Garamond" w:hAnsi="Garamond"/>
          <w:i/>
        </w:rPr>
        <w:t xml:space="preserve"> nazionale anticorruzione. Tra prevenzione e attività regolatoria</w:t>
      </w:r>
      <w:r w:rsidRPr="003B005C">
        <w:rPr>
          <w:rFonts w:ascii="Garamond" w:hAnsi="Garamond"/>
        </w:rPr>
        <w:t>, p. 27.</w:t>
      </w:r>
    </w:p>
  </w:footnote>
  <w:footnote w:id="4">
    <w:p w14:paraId="53360EA5" w14:textId="0DD83EC8" w:rsidR="00427343" w:rsidRPr="003B005C" w:rsidRDefault="00427343" w:rsidP="003B005C">
      <w:pPr>
        <w:pStyle w:val="Testonotaapidipagina"/>
        <w:jc w:val="both"/>
        <w:rPr>
          <w:rFonts w:ascii="Garamond" w:hAnsi="Garamond"/>
        </w:rPr>
      </w:pPr>
      <w:r w:rsidRPr="003B005C">
        <w:rPr>
          <w:rStyle w:val="Rimandonotaapidipagina"/>
          <w:rFonts w:ascii="Garamond" w:hAnsi="Garamond"/>
        </w:rPr>
        <w:footnoteRef/>
      </w:r>
      <w:r w:rsidRPr="003B005C">
        <w:rPr>
          <w:rFonts w:ascii="Garamond" w:hAnsi="Garamond"/>
        </w:rPr>
        <w:t xml:space="preserve"> Si v. sul punto il Piano di riordino a firma del Presidente Anac, adottato ai sensi dell’art. 19, comma 3 del decreto legge 24 giugno 2014, n. 90 convertito in legge 11 agosto 2014, n. 114</w:t>
      </w:r>
      <w:r w:rsidR="00E56073" w:rsidRPr="003B005C">
        <w:rPr>
          <w:rFonts w:ascii="Garamond" w:hAnsi="Garamond"/>
        </w:rPr>
        <w:t>, p. 15</w:t>
      </w:r>
      <w:r w:rsidRPr="003B005C">
        <w:rPr>
          <w:rFonts w:ascii="Garamond" w:hAnsi="Garamond"/>
        </w:rPr>
        <w:t>.</w:t>
      </w:r>
      <w:r w:rsidR="00932C67" w:rsidRPr="003B005C">
        <w:rPr>
          <w:rFonts w:ascii="Garamond" w:hAnsi="Garamond"/>
        </w:rPr>
        <w:t xml:space="preserve"> In generale, sulla nuova disciplina che affianca alla tradizionale impostazione repressiva di stampo penalistico un approccio preventivo di carattere più amministrativo, fra i molti, possono vedersi i contributi raccolti in </w:t>
      </w:r>
      <w:r w:rsidR="00932C67" w:rsidRPr="003B005C">
        <w:rPr>
          <w:rFonts w:ascii="Garamond" w:hAnsi="Garamond"/>
          <w:smallCaps/>
        </w:rPr>
        <w:t>B.G. Mattarella - M. Pelissero</w:t>
      </w:r>
      <w:r w:rsidR="00932C67" w:rsidRPr="003B005C">
        <w:rPr>
          <w:rFonts w:ascii="Garamond" w:hAnsi="Garamond"/>
        </w:rPr>
        <w:t xml:space="preserve"> (a cura di), </w:t>
      </w:r>
      <w:r w:rsidR="00932C67" w:rsidRPr="003B005C">
        <w:rPr>
          <w:rFonts w:ascii="Garamond" w:hAnsi="Garamond"/>
          <w:i/>
        </w:rPr>
        <w:t>La legge anticorruzione: Prevenzione e repressione della corruzione</w:t>
      </w:r>
      <w:r w:rsidR="00932C67" w:rsidRPr="003B005C">
        <w:rPr>
          <w:rFonts w:ascii="Garamond" w:hAnsi="Garamond"/>
        </w:rPr>
        <w:t xml:space="preserve">, Torino, 2013; </w:t>
      </w:r>
      <w:r w:rsidR="00932C67" w:rsidRPr="003B005C">
        <w:rPr>
          <w:rFonts w:ascii="Garamond" w:hAnsi="Garamond"/>
          <w:smallCaps/>
        </w:rPr>
        <w:t>R. Cantone - F. Merloni</w:t>
      </w:r>
      <w:r w:rsidR="00932C67" w:rsidRPr="003B005C">
        <w:rPr>
          <w:rFonts w:ascii="Garamond" w:hAnsi="Garamond"/>
        </w:rPr>
        <w:t xml:space="preserve"> (a cura di), </w:t>
      </w:r>
      <w:r w:rsidR="00932C67" w:rsidRPr="003B005C">
        <w:rPr>
          <w:rFonts w:ascii="Garamond" w:hAnsi="Garamond"/>
          <w:i/>
        </w:rPr>
        <w:t>La nuova autorità nazionale anticorruzione</w:t>
      </w:r>
      <w:r w:rsidR="00932C67" w:rsidRPr="003B005C">
        <w:rPr>
          <w:rFonts w:ascii="Garamond" w:hAnsi="Garamond"/>
        </w:rPr>
        <w:t xml:space="preserve">, Torino, 2015; </w:t>
      </w:r>
      <w:r w:rsidR="00932C67" w:rsidRPr="003B005C">
        <w:rPr>
          <w:rFonts w:ascii="Garamond" w:hAnsi="Garamond"/>
          <w:smallCaps/>
        </w:rPr>
        <w:t>M. D’Alberti</w:t>
      </w:r>
      <w:r w:rsidR="00932C67" w:rsidRPr="003B005C">
        <w:rPr>
          <w:rFonts w:ascii="Garamond" w:hAnsi="Garamond"/>
        </w:rPr>
        <w:t xml:space="preserve"> (a cura di), </w:t>
      </w:r>
      <w:r w:rsidR="00932C67" w:rsidRPr="003B005C">
        <w:rPr>
          <w:rFonts w:ascii="Garamond" w:hAnsi="Garamond"/>
          <w:i/>
        </w:rPr>
        <w:t>Corruzione e pubblica amministrazione</w:t>
      </w:r>
      <w:r w:rsidR="00932C67" w:rsidRPr="003B005C">
        <w:rPr>
          <w:rFonts w:ascii="Garamond" w:hAnsi="Garamond"/>
        </w:rPr>
        <w:t xml:space="preserve">, Napoli, 2017; </w:t>
      </w:r>
      <w:r w:rsidR="00932C67" w:rsidRPr="003B005C">
        <w:rPr>
          <w:rFonts w:ascii="Garamond" w:hAnsi="Garamond"/>
          <w:smallCaps/>
        </w:rPr>
        <w:t>M. Nunziata</w:t>
      </w:r>
      <w:r w:rsidR="00932C67" w:rsidRPr="003B005C">
        <w:rPr>
          <w:rFonts w:ascii="Garamond" w:hAnsi="Garamond"/>
        </w:rPr>
        <w:t xml:space="preserve"> (a cura di),</w:t>
      </w:r>
      <w:r w:rsidR="00932C67" w:rsidRPr="003B005C">
        <w:rPr>
          <w:rFonts w:ascii="Garamond" w:hAnsi="Garamond"/>
          <w:i/>
        </w:rPr>
        <w:t xml:space="preserve"> Riflessioni in tema di lotta alla corruzione. Rimedi preventivi e repressivi</w:t>
      </w:r>
      <w:r w:rsidR="00932C67" w:rsidRPr="003B005C">
        <w:rPr>
          <w:rFonts w:ascii="Garamond" w:hAnsi="Garamond"/>
        </w:rPr>
        <w:t>, Roma, 2017.</w:t>
      </w:r>
    </w:p>
  </w:footnote>
  <w:footnote w:id="5">
    <w:p w14:paraId="461550D5" w14:textId="77777777" w:rsidR="00E158FA" w:rsidRPr="003B005C" w:rsidRDefault="00E158FA" w:rsidP="003B005C">
      <w:pPr>
        <w:pStyle w:val="Testonotaapidipagina"/>
        <w:jc w:val="both"/>
        <w:rPr>
          <w:rFonts w:ascii="Garamond" w:hAnsi="Garamond"/>
        </w:rPr>
      </w:pPr>
      <w:r w:rsidRPr="003B005C">
        <w:rPr>
          <w:rStyle w:val="Rimandonotaapidipagina"/>
          <w:rFonts w:ascii="Garamond" w:hAnsi="Garamond"/>
        </w:rPr>
        <w:footnoteRef/>
      </w:r>
      <w:r w:rsidRPr="003B005C">
        <w:rPr>
          <w:rFonts w:ascii="Garamond" w:hAnsi="Garamond"/>
        </w:rPr>
        <w:t xml:space="preserve"> Così </w:t>
      </w:r>
      <w:r w:rsidRPr="003B005C">
        <w:rPr>
          <w:rFonts w:ascii="Garamond" w:hAnsi="Garamond"/>
          <w:smallCaps/>
        </w:rPr>
        <w:t>F. Caringella</w:t>
      </w:r>
      <w:r w:rsidRPr="003B005C">
        <w:rPr>
          <w:rFonts w:ascii="Garamond" w:hAnsi="Garamond"/>
        </w:rPr>
        <w:t xml:space="preserve">, </w:t>
      </w:r>
      <w:r w:rsidRPr="003B005C">
        <w:rPr>
          <w:rFonts w:ascii="Garamond" w:hAnsi="Garamond"/>
          <w:bCs/>
          <w:i/>
        </w:rPr>
        <w:t>Il nuovo modello di autorità indipendente giusdicente: l’autorità nazionale anticorruzione</w:t>
      </w:r>
      <w:r w:rsidRPr="003B005C">
        <w:rPr>
          <w:rFonts w:ascii="Garamond" w:hAnsi="Garamond"/>
          <w:bCs/>
        </w:rPr>
        <w:t xml:space="preserve">, pubblicato su </w:t>
      </w:r>
      <w:hyperlink r:id="rId1" w:history="1">
        <w:r w:rsidRPr="003B005C">
          <w:rPr>
            <w:rStyle w:val="Collegamentoipertestuale"/>
            <w:rFonts w:ascii="Garamond" w:hAnsi="Garamond"/>
            <w:bCs/>
          </w:rPr>
          <w:t>www.italiappalti.it</w:t>
        </w:r>
      </w:hyperlink>
      <w:r w:rsidRPr="003B005C">
        <w:rPr>
          <w:rFonts w:ascii="Garamond" w:hAnsi="Garamond"/>
          <w:bCs/>
        </w:rPr>
        <w:t>, in data 11.10.2018, par. 2.1.</w:t>
      </w:r>
    </w:p>
  </w:footnote>
  <w:footnote w:id="6">
    <w:p w14:paraId="67BF6A0D" w14:textId="6CA43ABA" w:rsidR="0098778E" w:rsidRPr="003B005C" w:rsidRDefault="0098778E" w:rsidP="003B005C">
      <w:pPr>
        <w:pStyle w:val="Testonotaapidipagina"/>
        <w:jc w:val="both"/>
        <w:rPr>
          <w:rFonts w:ascii="Garamond" w:hAnsi="Garamond"/>
          <w:bCs/>
        </w:rPr>
      </w:pPr>
      <w:r w:rsidRPr="003B005C">
        <w:rPr>
          <w:rStyle w:val="Rimandonotaapidipagina"/>
          <w:rFonts w:ascii="Garamond" w:hAnsi="Garamond"/>
        </w:rPr>
        <w:footnoteRef/>
      </w:r>
      <w:r w:rsidRPr="003B005C">
        <w:rPr>
          <w:rFonts w:ascii="Garamond" w:hAnsi="Garamond"/>
        </w:rPr>
        <w:t xml:space="preserve"> Così </w:t>
      </w:r>
      <w:r w:rsidRPr="003B005C">
        <w:rPr>
          <w:rFonts w:ascii="Garamond" w:hAnsi="Garamond"/>
          <w:smallCaps/>
        </w:rPr>
        <w:t>F. Caringella</w:t>
      </w:r>
      <w:r w:rsidRPr="003B005C">
        <w:rPr>
          <w:rFonts w:ascii="Garamond" w:hAnsi="Garamond"/>
        </w:rPr>
        <w:t xml:space="preserve">, </w:t>
      </w:r>
      <w:r w:rsidRPr="003B005C">
        <w:rPr>
          <w:rFonts w:ascii="Garamond" w:hAnsi="Garamond"/>
          <w:bCs/>
          <w:i/>
        </w:rPr>
        <w:t>Il nuovo modello di autorità indipendente giusdicente: l’autorità nazionale anticorruzione</w:t>
      </w:r>
      <w:r w:rsidRPr="003B005C">
        <w:rPr>
          <w:rFonts w:ascii="Garamond" w:hAnsi="Garamond"/>
          <w:bCs/>
        </w:rPr>
        <w:t xml:space="preserve">, </w:t>
      </w:r>
      <w:r w:rsidR="00982549" w:rsidRPr="003B005C">
        <w:rPr>
          <w:rFonts w:ascii="Garamond" w:hAnsi="Garamond"/>
          <w:bCs/>
        </w:rPr>
        <w:t>cit., par.</w:t>
      </w:r>
      <w:r w:rsidRPr="003B005C">
        <w:rPr>
          <w:rFonts w:ascii="Garamond" w:hAnsi="Garamond"/>
          <w:bCs/>
        </w:rPr>
        <w:t xml:space="preserve"> 1.</w:t>
      </w:r>
    </w:p>
    <w:p w14:paraId="355465B7" w14:textId="77777777" w:rsidR="0098778E" w:rsidRPr="003B005C" w:rsidRDefault="0098778E" w:rsidP="003B005C">
      <w:pPr>
        <w:pStyle w:val="Testonotaapidipagina"/>
        <w:jc w:val="both"/>
        <w:rPr>
          <w:rFonts w:ascii="Garamond" w:hAnsi="Garamond"/>
        </w:rPr>
      </w:pPr>
    </w:p>
  </w:footnote>
  <w:footnote w:id="7">
    <w:p w14:paraId="42565025" w14:textId="1B5295B9" w:rsidR="00126BC2" w:rsidRPr="003B005C" w:rsidRDefault="00126BC2" w:rsidP="003B005C">
      <w:pPr>
        <w:pStyle w:val="Testonotaapidipagina"/>
        <w:jc w:val="both"/>
        <w:rPr>
          <w:rFonts w:ascii="Garamond" w:hAnsi="Garamond"/>
          <w:iCs/>
        </w:rPr>
      </w:pPr>
      <w:r w:rsidRPr="003B005C">
        <w:rPr>
          <w:rFonts w:ascii="Garamond" w:hAnsi="Garamond"/>
        </w:rPr>
        <w:footnoteRef/>
      </w:r>
      <w:r w:rsidRPr="003B005C">
        <w:rPr>
          <w:rFonts w:ascii="Garamond" w:hAnsi="Garamond"/>
        </w:rPr>
        <w:t xml:space="preserve"> Sul punto, sia consentito rinviare a </w:t>
      </w:r>
      <w:r w:rsidRPr="003B005C">
        <w:rPr>
          <w:rFonts w:ascii="Garamond" w:hAnsi="Garamond"/>
          <w:smallCaps/>
        </w:rPr>
        <w:t>V. Varone</w:t>
      </w:r>
      <w:r w:rsidRPr="003B005C">
        <w:rPr>
          <w:rFonts w:ascii="Garamond" w:hAnsi="Garamond"/>
          <w:i/>
        </w:rPr>
        <w:t>, “Amministrazione trasparente” al banco di prova della nuova Governance della trasparenza: verso una Piattaforma unica</w:t>
      </w:r>
      <w:r w:rsidRPr="003B005C">
        <w:rPr>
          <w:rFonts w:ascii="Garamond" w:hAnsi="Garamond"/>
          <w:iCs/>
        </w:rPr>
        <w:t>, in Federalismi.it, Osservatorio trasparenza, 22 febbraio 2023.</w:t>
      </w:r>
    </w:p>
  </w:footnote>
  <w:footnote w:id="8">
    <w:p w14:paraId="3ACADA50" w14:textId="77777777" w:rsidR="004A2293" w:rsidRPr="003B005C" w:rsidRDefault="004A2293" w:rsidP="003B005C">
      <w:pPr>
        <w:pStyle w:val="Testonotaapidipagina"/>
        <w:jc w:val="both"/>
        <w:rPr>
          <w:rFonts w:ascii="Garamond" w:hAnsi="Garamond"/>
        </w:rPr>
      </w:pPr>
      <w:r w:rsidRPr="003B005C">
        <w:rPr>
          <w:rStyle w:val="Rimandonotaapidipagina"/>
          <w:rFonts w:ascii="Garamond" w:hAnsi="Garamond"/>
        </w:rPr>
        <w:footnoteRef/>
      </w:r>
      <w:r w:rsidRPr="003B005C">
        <w:rPr>
          <w:rFonts w:ascii="Garamond" w:hAnsi="Garamond"/>
        </w:rPr>
        <w:t xml:space="preserve"> </w:t>
      </w:r>
      <w:r w:rsidR="007023C1" w:rsidRPr="003B005C">
        <w:rPr>
          <w:rFonts w:ascii="Garamond" w:hAnsi="Garamond"/>
        </w:rPr>
        <w:t>Sul punto, si v.</w:t>
      </w:r>
      <w:r w:rsidRPr="003B005C">
        <w:rPr>
          <w:rFonts w:ascii="Garamond" w:hAnsi="Garamond"/>
        </w:rPr>
        <w:t xml:space="preserve"> </w:t>
      </w:r>
      <w:r w:rsidRPr="003B005C">
        <w:rPr>
          <w:rFonts w:ascii="Garamond" w:hAnsi="Garamond"/>
          <w:smallCaps/>
        </w:rPr>
        <w:t>A. N</w:t>
      </w:r>
      <w:r w:rsidR="007023C1" w:rsidRPr="003B005C">
        <w:rPr>
          <w:rFonts w:ascii="Garamond" w:hAnsi="Garamond"/>
          <w:smallCaps/>
        </w:rPr>
        <w:t>atalini</w:t>
      </w:r>
      <w:r w:rsidRPr="003B005C">
        <w:rPr>
          <w:rFonts w:ascii="Garamond" w:hAnsi="Garamond"/>
          <w:smallCaps/>
        </w:rPr>
        <w:t xml:space="preserve"> - G. </w:t>
      </w:r>
      <w:r w:rsidR="007023C1" w:rsidRPr="003B005C">
        <w:rPr>
          <w:rFonts w:ascii="Garamond" w:hAnsi="Garamond"/>
          <w:smallCaps/>
        </w:rPr>
        <w:t>Vesperini,</w:t>
      </w:r>
      <w:r w:rsidRPr="003B005C">
        <w:rPr>
          <w:rFonts w:ascii="Garamond" w:hAnsi="Garamond"/>
        </w:rPr>
        <w:t xml:space="preserve"> </w:t>
      </w:r>
      <w:r w:rsidRPr="003B005C">
        <w:rPr>
          <w:rFonts w:ascii="Garamond" w:hAnsi="Garamond"/>
          <w:i/>
        </w:rPr>
        <w:t>Le troppe trasparenze</w:t>
      </w:r>
      <w:r w:rsidRPr="003B005C">
        <w:rPr>
          <w:rFonts w:ascii="Garamond" w:hAnsi="Garamond"/>
        </w:rPr>
        <w:t>, in Il Big Bang della trasparenza, in A. N</w:t>
      </w:r>
      <w:r w:rsidR="004C4AC8" w:rsidRPr="003B005C">
        <w:rPr>
          <w:rFonts w:ascii="Garamond" w:hAnsi="Garamond"/>
        </w:rPr>
        <w:t>atalini</w:t>
      </w:r>
      <w:r w:rsidRPr="003B005C">
        <w:rPr>
          <w:rFonts w:ascii="Garamond" w:hAnsi="Garamond"/>
        </w:rPr>
        <w:t xml:space="preserve"> e </w:t>
      </w:r>
      <w:r w:rsidR="004C4AC8" w:rsidRPr="003B005C">
        <w:rPr>
          <w:rFonts w:ascii="Garamond" w:hAnsi="Garamond"/>
        </w:rPr>
        <w:t>G</w:t>
      </w:r>
      <w:r w:rsidRPr="003B005C">
        <w:rPr>
          <w:rFonts w:ascii="Garamond" w:hAnsi="Garamond"/>
        </w:rPr>
        <w:t xml:space="preserve"> VESPERINI (a cura di), Napoli, 2015, 11 ss</w:t>
      </w:r>
      <w:r w:rsidRPr="003B005C">
        <w:rPr>
          <w:rFonts w:ascii="Garamond" w:hAnsi="Garamond"/>
          <w:smallCaps/>
        </w:rPr>
        <w:t>.; I. A. N</w:t>
      </w:r>
      <w:r w:rsidR="007023C1" w:rsidRPr="003B005C">
        <w:rPr>
          <w:rFonts w:ascii="Garamond" w:hAnsi="Garamond"/>
          <w:smallCaps/>
        </w:rPr>
        <w:t>icotra</w:t>
      </w:r>
      <w:r w:rsidRPr="003B005C">
        <w:rPr>
          <w:rFonts w:ascii="Garamond" w:hAnsi="Garamond"/>
        </w:rPr>
        <w:t xml:space="preserve">, </w:t>
      </w:r>
      <w:r w:rsidRPr="003B005C">
        <w:rPr>
          <w:rFonts w:ascii="Garamond" w:hAnsi="Garamond"/>
          <w:i/>
        </w:rPr>
        <w:t>La dimensione della trasparenza tra diritto alla accessibilità totale e protezione dei dati personali: alla ricerca di un equilibrio costituzionale</w:t>
      </w:r>
      <w:r w:rsidRPr="003B005C">
        <w:rPr>
          <w:rFonts w:ascii="Garamond" w:hAnsi="Garamond"/>
        </w:rPr>
        <w:t xml:space="preserve">, in Federalismi.it, 11, 2015; </w:t>
      </w:r>
      <w:r w:rsidRPr="003B005C">
        <w:rPr>
          <w:rFonts w:ascii="Garamond" w:hAnsi="Garamond"/>
          <w:smallCaps/>
        </w:rPr>
        <w:t xml:space="preserve">I. A. </w:t>
      </w:r>
      <w:r w:rsidR="002A6123" w:rsidRPr="003B005C">
        <w:rPr>
          <w:rFonts w:ascii="Garamond" w:hAnsi="Garamond"/>
          <w:smallCaps/>
        </w:rPr>
        <w:t>Nicotra</w:t>
      </w:r>
      <w:r w:rsidRPr="003B005C">
        <w:rPr>
          <w:rFonts w:ascii="Garamond" w:hAnsi="Garamond"/>
          <w:smallCaps/>
        </w:rPr>
        <w:t xml:space="preserve"> – F. D</w:t>
      </w:r>
      <w:r w:rsidR="004C4AC8" w:rsidRPr="003B005C">
        <w:rPr>
          <w:rFonts w:ascii="Garamond" w:hAnsi="Garamond"/>
          <w:smallCaps/>
        </w:rPr>
        <w:t>i</w:t>
      </w:r>
      <w:r w:rsidRPr="003B005C">
        <w:rPr>
          <w:rFonts w:ascii="Garamond" w:hAnsi="Garamond"/>
          <w:smallCaps/>
        </w:rPr>
        <w:t xml:space="preserve"> M</w:t>
      </w:r>
      <w:r w:rsidR="004C4AC8" w:rsidRPr="003B005C">
        <w:rPr>
          <w:rFonts w:ascii="Garamond" w:hAnsi="Garamond"/>
          <w:smallCaps/>
        </w:rPr>
        <w:t>ascio</w:t>
      </w:r>
      <w:r w:rsidRPr="003B005C">
        <w:rPr>
          <w:rFonts w:ascii="Garamond" w:hAnsi="Garamond"/>
        </w:rPr>
        <w:t xml:space="preserve">, </w:t>
      </w:r>
      <w:r w:rsidRPr="003B005C">
        <w:rPr>
          <w:rFonts w:ascii="Garamond" w:hAnsi="Garamond"/>
          <w:i/>
        </w:rPr>
        <w:t>Le funzioni dell’ANAC in materia di trasparenza</w:t>
      </w:r>
      <w:r w:rsidRPr="003B005C">
        <w:rPr>
          <w:rFonts w:ascii="Garamond" w:hAnsi="Garamond"/>
        </w:rPr>
        <w:t xml:space="preserve">, in </w:t>
      </w:r>
      <w:r w:rsidRPr="003B005C">
        <w:rPr>
          <w:rFonts w:ascii="Garamond" w:hAnsi="Garamond"/>
          <w:smallCaps/>
        </w:rPr>
        <w:t>R. C</w:t>
      </w:r>
      <w:r w:rsidR="004C4AC8" w:rsidRPr="003B005C">
        <w:rPr>
          <w:rFonts w:ascii="Garamond" w:hAnsi="Garamond"/>
          <w:smallCaps/>
        </w:rPr>
        <w:t>antone</w:t>
      </w:r>
      <w:r w:rsidRPr="003B005C">
        <w:rPr>
          <w:rFonts w:ascii="Garamond" w:hAnsi="Garamond"/>
          <w:smallCaps/>
        </w:rPr>
        <w:t xml:space="preserve"> – F. M</w:t>
      </w:r>
      <w:r w:rsidR="004C4AC8" w:rsidRPr="003B005C">
        <w:rPr>
          <w:rFonts w:ascii="Garamond" w:hAnsi="Garamond"/>
          <w:smallCaps/>
        </w:rPr>
        <w:t>erloni</w:t>
      </w:r>
      <w:r w:rsidR="004C4AC8" w:rsidRPr="003B005C">
        <w:rPr>
          <w:rFonts w:ascii="Garamond" w:hAnsi="Garamond"/>
        </w:rPr>
        <w:t xml:space="preserve"> </w:t>
      </w:r>
      <w:r w:rsidRPr="003B005C">
        <w:rPr>
          <w:rFonts w:ascii="Garamond" w:hAnsi="Garamond"/>
        </w:rPr>
        <w:t xml:space="preserve">(a cura di), </w:t>
      </w:r>
      <w:r w:rsidRPr="003B005C">
        <w:rPr>
          <w:rFonts w:ascii="Garamond" w:hAnsi="Garamond"/>
          <w:i/>
        </w:rPr>
        <w:t>La nuova Autorità nazionale anticorruzione</w:t>
      </w:r>
      <w:r w:rsidRPr="003B005C">
        <w:rPr>
          <w:rFonts w:ascii="Garamond" w:hAnsi="Garamond"/>
        </w:rPr>
        <w:t xml:space="preserve">, Torino, 67-78; </w:t>
      </w:r>
      <w:r w:rsidRPr="003B005C">
        <w:rPr>
          <w:rFonts w:ascii="Garamond" w:hAnsi="Garamond"/>
          <w:smallCaps/>
        </w:rPr>
        <w:t>V. V</w:t>
      </w:r>
      <w:r w:rsidR="004C4AC8" w:rsidRPr="003B005C">
        <w:rPr>
          <w:rFonts w:ascii="Garamond" w:hAnsi="Garamond"/>
          <w:smallCaps/>
        </w:rPr>
        <w:t>arone</w:t>
      </w:r>
      <w:r w:rsidRPr="003B005C">
        <w:rPr>
          <w:rFonts w:ascii="Garamond" w:hAnsi="Garamond"/>
        </w:rPr>
        <w:t>, -</w:t>
      </w:r>
      <w:r w:rsidRPr="003B005C">
        <w:rPr>
          <w:rFonts w:ascii="Garamond" w:hAnsi="Garamond"/>
          <w:i/>
        </w:rPr>
        <w:t xml:space="preserve"> La trasparenza amministrativa: analisi dei più recenti interventi legislativi e delle prospettive future</w:t>
      </w:r>
      <w:r w:rsidRPr="003B005C">
        <w:rPr>
          <w:rFonts w:ascii="Garamond" w:hAnsi="Garamond"/>
        </w:rPr>
        <w:t>, in M. D'ALBERTI (a cura di) Corruzione e pubblica amministrazio</w:t>
      </w:r>
      <w:r w:rsidR="004C4AC8" w:rsidRPr="003B005C">
        <w:rPr>
          <w:rFonts w:ascii="Garamond" w:hAnsi="Garamond"/>
        </w:rPr>
        <w:t>ne, Napoli, 2017, pp. 383 – 399</w:t>
      </w:r>
      <w:r w:rsidRPr="003B005C">
        <w:rPr>
          <w:rFonts w:ascii="Garamond" w:hAnsi="Garamond"/>
        </w:rPr>
        <w:t>.</w:t>
      </w:r>
    </w:p>
  </w:footnote>
  <w:footnote w:id="9">
    <w:p w14:paraId="6ADF54DD" w14:textId="5247A1D9" w:rsidR="00932C67" w:rsidRPr="003B005C" w:rsidRDefault="00932C67" w:rsidP="003B005C">
      <w:pPr>
        <w:pStyle w:val="Testonotaapidipagina"/>
        <w:jc w:val="both"/>
        <w:rPr>
          <w:rFonts w:ascii="Garamond" w:hAnsi="Garamond"/>
        </w:rPr>
      </w:pPr>
      <w:r w:rsidRPr="003B005C">
        <w:rPr>
          <w:rFonts w:ascii="Garamond" w:hAnsi="Garamond"/>
        </w:rPr>
        <w:footnoteRef/>
      </w:r>
      <w:r w:rsidRPr="003B005C">
        <w:rPr>
          <w:rFonts w:ascii="Garamond" w:hAnsi="Garamond"/>
        </w:rPr>
        <w:t xml:space="preserve"> In particolare, sull’applicabilità delle regole di trasparenza alle società pubbliche, possono vedersi M. Nunziata e A. Mascolo, </w:t>
      </w:r>
      <w:r w:rsidRPr="003B005C">
        <w:rPr>
          <w:rFonts w:ascii="Garamond" w:hAnsi="Garamond"/>
          <w:i/>
        </w:rPr>
        <w:t>Trasparenza</w:t>
      </w:r>
      <w:r w:rsidRPr="003B005C">
        <w:rPr>
          <w:rFonts w:ascii="Garamond" w:hAnsi="Garamond"/>
        </w:rPr>
        <w:t xml:space="preserve">, in </w:t>
      </w:r>
      <w:r w:rsidRPr="003B005C">
        <w:rPr>
          <w:rFonts w:ascii="Garamond" w:hAnsi="Garamond"/>
          <w:i/>
        </w:rPr>
        <w:t>Codice delle società pubbliche</w:t>
      </w:r>
      <w:r w:rsidRPr="003B005C">
        <w:rPr>
          <w:rFonts w:ascii="Garamond" w:hAnsi="Garamond"/>
        </w:rPr>
        <w:t>, a cura di G. Morbidelli con il coordinamento di F. Cintioli, F. Freni, A. Police, Milano, 2018, 455 ss.</w:t>
      </w:r>
    </w:p>
  </w:footnote>
  <w:footnote w:id="10">
    <w:p w14:paraId="27D270B4" w14:textId="22A7C19D" w:rsidR="000000DB" w:rsidRPr="003B005C" w:rsidRDefault="000000DB" w:rsidP="003B005C">
      <w:pPr>
        <w:pStyle w:val="Testonotaapidipagina"/>
        <w:jc w:val="both"/>
        <w:rPr>
          <w:rFonts w:ascii="Garamond" w:hAnsi="Garamond"/>
        </w:rPr>
      </w:pPr>
      <w:r w:rsidRPr="003B005C">
        <w:rPr>
          <w:rStyle w:val="Rimandonotaapidipagina"/>
          <w:rFonts w:ascii="Garamond" w:hAnsi="Garamond"/>
        </w:rPr>
        <w:footnoteRef/>
      </w:r>
      <w:r w:rsidRPr="003B005C">
        <w:rPr>
          <w:rFonts w:ascii="Garamond" w:hAnsi="Garamond"/>
        </w:rPr>
        <w:t xml:space="preserve"> Più in generale, sul rapporto tra corruzione e trasparenza, fra gli altri, B.G. Mattarella, </w:t>
      </w:r>
      <w:r w:rsidRPr="003B005C">
        <w:rPr>
          <w:rFonts w:ascii="Garamond" w:hAnsi="Garamond"/>
          <w:i/>
          <w:iCs/>
        </w:rPr>
        <w:t>La prevenzione della corruzione in Italia</w:t>
      </w:r>
      <w:r w:rsidRPr="003B005C">
        <w:rPr>
          <w:rFonts w:ascii="Garamond" w:hAnsi="Garamond"/>
        </w:rPr>
        <w:t xml:space="preserve">, in </w:t>
      </w:r>
      <w:r w:rsidRPr="003B005C">
        <w:rPr>
          <w:rFonts w:ascii="Garamond" w:hAnsi="Garamond"/>
          <w:i/>
          <w:iCs/>
        </w:rPr>
        <w:t>Giorn. dir. amm.</w:t>
      </w:r>
      <w:r w:rsidRPr="003B005C">
        <w:rPr>
          <w:rFonts w:ascii="Garamond" w:hAnsi="Garamond"/>
        </w:rPr>
        <w:t xml:space="preserve">, 2/2013, 123 ss.; </w:t>
      </w:r>
      <w:r w:rsidRPr="003B005C">
        <w:rPr>
          <w:rFonts w:ascii="Garamond" w:hAnsi="Garamond"/>
          <w:smallCaps/>
        </w:rPr>
        <w:t>A. Pajno</w:t>
      </w:r>
      <w:r w:rsidRPr="003B005C">
        <w:rPr>
          <w:rFonts w:ascii="Garamond" w:hAnsi="Garamond"/>
        </w:rPr>
        <w:t xml:space="preserve">, </w:t>
      </w:r>
      <w:r w:rsidRPr="003B005C">
        <w:rPr>
          <w:rFonts w:ascii="Garamond" w:hAnsi="Garamond"/>
          <w:i/>
          <w:iCs/>
        </w:rPr>
        <w:t>Il principio di trasparenza alla luce delle norme anticorruzione</w:t>
      </w:r>
      <w:r w:rsidRPr="003B005C">
        <w:rPr>
          <w:rFonts w:ascii="Garamond" w:hAnsi="Garamond"/>
        </w:rPr>
        <w:t xml:space="preserve">, in </w:t>
      </w:r>
      <w:r w:rsidRPr="003B005C">
        <w:rPr>
          <w:rFonts w:ascii="Garamond" w:hAnsi="Garamond"/>
          <w:i/>
          <w:iCs/>
        </w:rPr>
        <w:t>Giust. civ.</w:t>
      </w:r>
      <w:r w:rsidRPr="003B005C">
        <w:rPr>
          <w:rFonts w:ascii="Garamond" w:hAnsi="Garamond"/>
        </w:rPr>
        <w:t xml:space="preserve">, 2/2015; </w:t>
      </w:r>
      <w:r w:rsidRPr="003B005C">
        <w:rPr>
          <w:rFonts w:ascii="Garamond" w:hAnsi="Garamond"/>
          <w:smallCaps/>
        </w:rPr>
        <w:t>A. Police</w:t>
      </w:r>
      <w:r w:rsidRPr="003B005C">
        <w:rPr>
          <w:rFonts w:ascii="Garamond" w:hAnsi="Garamond"/>
        </w:rPr>
        <w:t xml:space="preserve">, </w:t>
      </w:r>
      <w:r w:rsidRPr="003B005C">
        <w:rPr>
          <w:rFonts w:ascii="Garamond" w:hAnsi="Garamond"/>
          <w:i/>
          <w:iCs/>
        </w:rPr>
        <w:t>New instruments of Control over public Corruption: the Italian Reform to restore Transparency and Accountability</w:t>
      </w:r>
      <w:r w:rsidRPr="003B005C">
        <w:rPr>
          <w:rFonts w:ascii="Garamond" w:hAnsi="Garamond"/>
        </w:rPr>
        <w:t xml:space="preserve">, in </w:t>
      </w:r>
      <w:r w:rsidRPr="003B005C">
        <w:rPr>
          <w:rFonts w:ascii="Garamond" w:hAnsi="Garamond"/>
          <w:i/>
          <w:iCs/>
        </w:rPr>
        <w:t>Dir. Econ</w:t>
      </w:r>
      <w:r w:rsidRPr="003B005C">
        <w:rPr>
          <w:rFonts w:ascii="Garamond" w:hAnsi="Garamond"/>
        </w:rPr>
        <w:t xml:space="preserve">., 2, 2015, 189 ss.; </w:t>
      </w:r>
      <w:r w:rsidRPr="003B005C">
        <w:rPr>
          <w:rFonts w:ascii="Garamond" w:hAnsi="Garamond"/>
          <w:smallCaps/>
        </w:rPr>
        <w:t>A. Corrado,</w:t>
      </w:r>
      <w:r w:rsidRPr="003B005C">
        <w:rPr>
          <w:rFonts w:ascii="Garamond" w:hAnsi="Garamond"/>
        </w:rPr>
        <w:t xml:space="preserve"> </w:t>
      </w:r>
      <w:r w:rsidRPr="003B005C">
        <w:rPr>
          <w:rFonts w:ascii="Garamond" w:hAnsi="Garamond"/>
          <w:i/>
          <w:iCs/>
        </w:rPr>
        <w:t>La trasparenza attraverso gli obblighi di pubblicazione</w:t>
      </w:r>
      <w:r w:rsidRPr="003B005C">
        <w:rPr>
          <w:rFonts w:ascii="Garamond" w:hAnsi="Garamond"/>
        </w:rPr>
        <w:t xml:space="preserve">, 81 ss. e </w:t>
      </w:r>
      <w:r w:rsidRPr="003B005C">
        <w:rPr>
          <w:rFonts w:ascii="Garamond" w:hAnsi="Garamond"/>
          <w:smallCaps/>
        </w:rPr>
        <w:t>F. Di Mascio</w:t>
      </w:r>
      <w:r w:rsidRPr="003B005C">
        <w:rPr>
          <w:rFonts w:ascii="Garamond" w:hAnsi="Garamond"/>
        </w:rPr>
        <w:t xml:space="preserve">, </w:t>
      </w:r>
      <w:r w:rsidRPr="003B005C">
        <w:rPr>
          <w:rFonts w:ascii="Garamond" w:hAnsi="Garamond"/>
          <w:i/>
          <w:iCs/>
        </w:rPr>
        <w:t>L’accesso a dati, documenti e informazioni</w:t>
      </w:r>
      <w:r w:rsidRPr="003B005C">
        <w:rPr>
          <w:rFonts w:ascii="Garamond" w:hAnsi="Garamond"/>
        </w:rPr>
        <w:t xml:space="preserve">, entrambi in </w:t>
      </w:r>
      <w:r w:rsidRPr="003B005C">
        <w:rPr>
          <w:rFonts w:ascii="Garamond" w:hAnsi="Garamond"/>
          <w:i/>
          <w:iCs/>
        </w:rPr>
        <w:t>Riflessioni in tema di lotta alla corruzione. Rimedi preventivi e repressivi</w:t>
      </w:r>
      <w:r w:rsidRPr="003B005C">
        <w:rPr>
          <w:rFonts w:ascii="Garamond" w:hAnsi="Garamond"/>
        </w:rPr>
        <w:t xml:space="preserve">, cit., rispettivamente 81 ss. e 109 ss.  </w:t>
      </w:r>
    </w:p>
  </w:footnote>
  <w:footnote w:id="11">
    <w:p w14:paraId="35FC6E69" w14:textId="613D58F8" w:rsidR="004C4AC8" w:rsidRPr="003B005C" w:rsidRDefault="004C4AC8" w:rsidP="003B005C">
      <w:pPr>
        <w:pStyle w:val="Testonotaapidipagina"/>
        <w:jc w:val="both"/>
        <w:rPr>
          <w:rFonts w:ascii="Garamond" w:hAnsi="Garamond"/>
          <w:i/>
        </w:rPr>
      </w:pPr>
      <w:r w:rsidRPr="003B005C">
        <w:rPr>
          <w:rStyle w:val="Rimandonotaapidipagina"/>
          <w:rFonts w:ascii="Garamond" w:hAnsi="Garamond"/>
        </w:rPr>
        <w:footnoteRef/>
      </w:r>
      <w:r w:rsidRPr="003B005C">
        <w:rPr>
          <w:rFonts w:ascii="Garamond" w:hAnsi="Garamond"/>
        </w:rPr>
        <w:t xml:space="preserve"> Sugli effetti della sentenza della Corte costituzionale n. 20/2019, si v. </w:t>
      </w:r>
      <w:r w:rsidRPr="003B005C">
        <w:rPr>
          <w:rFonts w:ascii="Garamond" w:hAnsi="Garamond"/>
          <w:smallCaps/>
        </w:rPr>
        <w:t xml:space="preserve">I. A. Nicotra, </w:t>
      </w:r>
      <w:r w:rsidRPr="003B005C">
        <w:rPr>
          <w:rFonts w:ascii="Garamond" w:hAnsi="Garamond"/>
          <w:bCs/>
          <w:i/>
        </w:rPr>
        <w:t>Privacy vs trasparenza, il Parlamento tace e il punto di equilibrio lo trova la Corte</w:t>
      </w:r>
      <w:r w:rsidRPr="003B005C">
        <w:rPr>
          <w:rFonts w:ascii="Garamond" w:hAnsi="Garamond"/>
          <w:bCs/>
        </w:rPr>
        <w:t xml:space="preserve">, </w:t>
      </w:r>
      <w:r w:rsidRPr="003B005C">
        <w:rPr>
          <w:rFonts w:ascii="Garamond" w:hAnsi="Garamond"/>
        </w:rPr>
        <w:t xml:space="preserve">in </w:t>
      </w:r>
      <w:r w:rsidRPr="003B005C">
        <w:rPr>
          <w:rFonts w:ascii="Garamond" w:hAnsi="Garamond"/>
          <w:i/>
        </w:rPr>
        <w:t>Federalismi.it</w:t>
      </w:r>
      <w:r w:rsidRPr="003B005C">
        <w:rPr>
          <w:rFonts w:ascii="Garamond" w:hAnsi="Garamond"/>
        </w:rPr>
        <w:t>, 7, 2019.</w:t>
      </w:r>
    </w:p>
  </w:footnote>
  <w:footnote w:id="12">
    <w:p w14:paraId="6F7BD8AD" w14:textId="3F84DAFB" w:rsidR="0074007C" w:rsidRPr="003B005C" w:rsidRDefault="004C4AC8" w:rsidP="003B005C">
      <w:pPr>
        <w:pStyle w:val="Testonotaapidipagina"/>
        <w:jc w:val="both"/>
        <w:rPr>
          <w:rFonts w:ascii="Garamond" w:hAnsi="Garamond"/>
          <w:color w:val="FF0000"/>
        </w:rPr>
      </w:pPr>
      <w:r w:rsidRPr="003B005C">
        <w:rPr>
          <w:rStyle w:val="Rimandonotaapidipagina"/>
          <w:rFonts w:ascii="Garamond" w:hAnsi="Garamond"/>
        </w:rPr>
        <w:footnoteRef/>
      </w:r>
      <w:r w:rsidRPr="003B005C">
        <w:rPr>
          <w:rFonts w:ascii="Garamond" w:hAnsi="Garamond"/>
        </w:rPr>
        <w:t xml:space="preserve"> Sul punto sia consentito fare rinvio a quanto emerge dal </w:t>
      </w:r>
      <w:r w:rsidR="001E6017" w:rsidRPr="003B005C">
        <w:rPr>
          <w:rFonts w:ascii="Garamond" w:hAnsi="Garamond"/>
          <w:i/>
        </w:rPr>
        <w:t>“Monitoraggio conoscitivo sulla “esperienza della trasparenza””</w:t>
      </w:r>
      <w:r w:rsidRPr="003B005C">
        <w:rPr>
          <w:rFonts w:ascii="Garamond" w:hAnsi="Garamond"/>
        </w:rPr>
        <w:t xml:space="preserve">pubblicato sul sito dell’Anac e disponibile al seguente link: </w:t>
      </w:r>
      <w:hyperlink r:id="rId2" w:history="1">
        <w:r w:rsidR="001E6017" w:rsidRPr="003B005C">
          <w:rPr>
            <w:rStyle w:val="Collegamentoipertestuale"/>
            <w:rFonts w:ascii="Garamond" w:hAnsi="Garamond"/>
          </w:rPr>
          <w:t>http://www.anticorruzione.it/portal/public/classic/Comunicazione/News/_news?id=7c9e16c10a7780421764d89dcec21c90</w:t>
        </w:r>
      </w:hyperlink>
      <w:r w:rsidR="0074007C" w:rsidRPr="003B005C">
        <w:rPr>
          <w:rFonts w:ascii="Garamond" w:hAnsi="Garamond"/>
          <w:color w:val="FF0000"/>
        </w:rPr>
        <w:t xml:space="preserve"> che, benchè si riferisce all’art. 48 del d.lgs. n. 33/2013, presenta profili utili anche rispetto alla piattaforma unica.</w:t>
      </w:r>
    </w:p>
  </w:footnote>
  <w:footnote w:id="13">
    <w:p w14:paraId="52A752CF" w14:textId="40DF2424" w:rsidR="00EB7400" w:rsidRPr="003B005C" w:rsidRDefault="00EB7400" w:rsidP="003B005C">
      <w:pPr>
        <w:pBdr>
          <w:top w:val="nil"/>
          <w:left w:val="nil"/>
          <w:bottom w:val="nil"/>
          <w:right w:val="nil"/>
          <w:between w:val="nil"/>
        </w:pBdr>
        <w:tabs>
          <w:tab w:val="left" w:pos="9072"/>
        </w:tabs>
        <w:spacing w:after="0" w:line="240" w:lineRule="auto"/>
        <w:ind w:right="566"/>
        <w:jc w:val="both"/>
        <w:rPr>
          <w:rFonts w:ascii="Garamond" w:eastAsia="Garamond" w:hAnsi="Garamond" w:cs="Garamond"/>
          <w:color w:val="000000"/>
          <w:sz w:val="20"/>
          <w:szCs w:val="20"/>
        </w:rPr>
      </w:pPr>
      <w:r w:rsidRPr="003B005C">
        <w:rPr>
          <w:rFonts w:ascii="Garamond" w:hAnsi="Garamond"/>
          <w:sz w:val="20"/>
          <w:szCs w:val="20"/>
          <w:vertAlign w:val="superscript"/>
        </w:rPr>
        <w:footnoteRef/>
      </w:r>
      <w:r w:rsidRPr="003B005C">
        <w:rPr>
          <w:rFonts w:ascii="Garamond" w:eastAsia="Garamond" w:hAnsi="Garamond" w:cs="Garamond"/>
          <w:color w:val="000000"/>
          <w:sz w:val="20"/>
          <w:szCs w:val="20"/>
        </w:rPr>
        <w:t xml:space="preserve"> Ne parla </w:t>
      </w:r>
      <w:r w:rsidRPr="003B005C">
        <w:rPr>
          <w:rFonts w:ascii="Garamond" w:eastAsia="Garamond" w:hAnsi="Garamond" w:cs="Garamond"/>
          <w:caps/>
          <w:color w:val="000000"/>
          <w:sz w:val="20"/>
          <w:szCs w:val="20"/>
        </w:rPr>
        <w:t>A. Corrado</w:t>
      </w:r>
      <w:r w:rsidRPr="003B005C">
        <w:rPr>
          <w:rFonts w:ascii="Garamond" w:eastAsia="Garamond" w:hAnsi="Garamond" w:cs="Garamond"/>
          <w:color w:val="000000"/>
          <w:sz w:val="20"/>
          <w:szCs w:val="20"/>
        </w:rPr>
        <w:t>, nel suo scritto</w:t>
      </w:r>
      <w:r w:rsidRPr="003B005C">
        <w:rPr>
          <w:rFonts w:ascii="Garamond" w:eastAsia="Garamond" w:hAnsi="Garamond" w:cs="Garamond"/>
          <w:i/>
          <w:color w:val="000000"/>
          <w:sz w:val="20"/>
          <w:szCs w:val="20"/>
        </w:rPr>
        <w:t xml:space="preserve"> Il futuro della disciplina di prevenzione della corruzione e della trasparenza amministrativa: una moda destinata a passare? L’ultima parola al Legislatore</w:t>
      </w:r>
      <w:r w:rsidRPr="003B005C">
        <w:rPr>
          <w:rFonts w:ascii="Garamond" w:eastAsia="Garamond" w:hAnsi="Garamond" w:cs="Garamond"/>
          <w:color w:val="000000"/>
          <w:sz w:val="20"/>
          <w:szCs w:val="20"/>
        </w:rPr>
        <w:t>, cit., 166-171.</w:t>
      </w:r>
    </w:p>
  </w:footnote>
  <w:footnote w:id="14">
    <w:p w14:paraId="4002FF2B" w14:textId="77777777" w:rsidR="0074007C" w:rsidRPr="003B005C" w:rsidRDefault="0074007C" w:rsidP="003B005C">
      <w:pPr>
        <w:pBdr>
          <w:top w:val="nil"/>
          <w:left w:val="nil"/>
          <w:bottom w:val="nil"/>
          <w:right w:val="nil"/>
          <w:between w:val="nil"/>
        </w:pBdr>
        <w:tabs>
          <w:tab w:val="left" w:pos="9072"/>
        </w:tabs>
        <w:spacing w:after="0" w:line="240" w:lineRule="auto"/>
        <w:ind w:right="566"/>
        <w:jc w:val="both"/>
        <w:rPr>
          <w:rFonts w:ascii="Garamond" w:eastAsia="Garamond" w:hAnsi="Garamond" w:cs="Garamond"/>
          <w:color w:val="000000"/>
          <w:sz w:val="20"/>
          <w:szCs w:val="20"/>
        </w:rPr>
      </w:pPr>
      <w:r w:rsidRPr="003B005C">
        <w:rPr>
          <w:rFonts w:ascii="Garamond" w:hAnsi="Garamond"/>
          <w:sz w:val="20"/>
          <w:szCs w:val="20"/>
          <w:vertAlign w:val="superscript"/>
        </w:rPr>
        <w:footnoteRef/>
      </w:r>
      <w:r w:rsidRPr="003B005C">
        <w:rPr>
          <w:rFonts w:ascii="Garamond" w:eastAsia="Garamond" w:hAnsi="Garamond" w:cs="Garamond"/>
          <w:color w:val="000000"/>
          <w:sz w:val="20"/>
          <w:szCs w:val="20"/>
        </w:rPr>
        <w:t xml:space="preserve"> All’indomani dell’entrata in vigore della legge n. 160/2019 l’ANAC ha evidenziato i profili di inapplicabilità richiedendo un tavolo congiunto con il Dipartimento della funzione pubblica. I profili di indeterminatezza sono molteplici e attengono, a titolo solo esemplificativo: all’indicazione di quale annualità sia presa come riferimento per attuare la decurtazione dell’indennità (indennità maturata nell’anno di commissione della violazione? E se questa è stata già pagata, restituzione di quanto eventualmente già percepito o debito a valere sulla successiva indennità?); all’individuazione dei parametri entro cui la stessa decurtazione si debba graduare all’interno del range dal 30% al 60% (come cioè vada quantificata la sanzione); al tempo di conclusione del procedimento sanzionatorio; all’impossibilità di procedere con riferimento agli enti che non dovessero prevedere tale indennità all’interno della propria contrattazione collettiva. </w:t>
      </w:r>
    </w:p>
  </w:footnote>
  <w:footnote w:id="15">
    <w:p w14:paraId="6FF3E669" w14:textId="299F568F" w:rsidR="00B93656" w:rsidRPr="003B005C" w:rsidRDefault="00B93656" w:rsidP="003B005C">
      <w:pPr>
        <w:pStyle w:val="Testonotaapidipagina"/>
        <w:jc w:val="both"/>
        <w:rPr>
          <w:rFonts w:ascii="Garamond" w:hAnsi="Garamond"/>
        </w:rPr>
      </w:pPr>
      <w:r w:rsidRPr="003B005C">
        <w:rPr>
          <w:rStyle w:val="Rimandonotaapidipagina"/>
          <w:rFonts w:ascii="Garamond" w:hAnsi="Garamond"/>
        </w:rPr>
        <w:footnoteRef/>
      </w:r>
      <w:r w:rsidRPr="003B005C">
        <w:rPr>
          <w:rFonts w:ascii="Garamond" w:hAnsi="Garamond"/>
        </w:rPr>
        <w:t xml:space="preserve"> Per una prima analisi del nuovo ruolo dell’Anac sui contratti pubblici possono vedersi, fra gli altri, </w:t>
      </w:r>
      <w:r w:rsidRPr="003B005C">
        <w:rPr>
          <w:rFonts w:ascii="Garamond" w:hAnsi="Garamond"/>
          <w:smallCaps/>
        </w:rPr>
        <w:t>F. Di Cristina</w:t>
      </w:r>
      <w:r w:rsidRPr="003B005C">
        <w:rPr>
          <w:rFonts w:ascii="Garamond" w:hAnsi="Garamond"/>
        </w:rPr>
        <w:t xml:space="preserve">, </w:t>
      </w:r>
      <w:r w:rsidRPr="003B005C">
        <w:rPr>
          <w:rFonts w:ascii="Garamond" w:hAnsi="Garamond"/>
          <w:i/>
        </w:rPr>
        <w:t>Le misure urgenti sulla pubblica amministrazione - La nuova vita dell'ANAC e gli interventi in materia di appalti pubblici in funzione anticorruzione</w:t>
      </w:r>
      <w:r w:rsidRPr="003B005C">
        <w:rPr>
          <w:rFonts w:ascii="Garamond" w:hAnsi="Garamond"/>
        </w:rPr>
        <w:t>,</w:t>
      </w:r>
      <w:r w:rsidRPr="003B005C">
        <w:rPr>
          <w:rFonts w:ascii="Garamond" w:hAnsi="Garamond"/>
          <w:bCs/>
        </w:rPr>
        <w:t xml:space="preserve"> in </w:t>
      </w:r>
      <w:r w:rsidRPr="003B005C">
        <w:rPr>
          <w:rFonts w:ascii="Garamond" w:hAnsi="Garamond"/>
          <w:bCs/>
          <w:i/>
        </w:rPr>
        <w:t>Giorn. dir. amm.</w:t>
      </w:r>
      <w:r w:rsidRPr="003B005C">
        <w:rPr>
          <w:rFonts w:ascii="Garamond" w:hAnsi="Garamond"/>
          <w:bCs/>
        </w:rPr>
        <w:t xml:space="preserve">, 11, 2014, 1019 ss.; </w:t>
      </w:r>
      <w:r w:rsidRPr="003B005C">
        <w:rPr>
          <w:rFonts w:ascii="Garamond" w:hAnsi="Garamond"/>
          <w:bCs/>
          <w:smallCaps/>
        </w:rPr>
        <w:t>R. Cantone</w:t>
      </w:r>
      <w:r w:rsidRPr="003B005C">
        <w:rPr>
          <w:rFonts w:ascii="Garamond" w:hAnsi="Garamond"/>
          <w:bCs/>
        </w:rPr>
        <w:t xml:space="preserve"> e </w:t>
      </w:r>
      <w:r w:rsidRPr="003B005C">
        <w:rPr>
          <w:rFonts w:ascii="Garamond" w:hAnsi="Garamond"/>
          <w:bCs/>
          <w:smallCaps/>
        </w:rPr>
        <w:t>C. Bova</w:t>
      </w:r>
      <w:r w:rsidRPr="003B005C">
        <w:rPr>
          <w:rFonts w:ascii="Garamond" w:hAnsi="Garamond"/>
          <w:bCs/>
        </w:rPr>
        <w:t xml:space="preserve">, </w:t>
      </w:r>
      <w:r w:rsidRPr="003B005C">
        <w:rPr>
          <w:rFonts w:ascii="Garamond" w:hAnsi="Garamond"/>
          <w:bCs/>
          <w:i/>
        </w:rPr>
        <w:t>L'ANAC alle prese con la vigilanza sui contratti pubblici; un ponte verso il nuovo codice degli appalti?</w:t>
      </w:r>
      <w:r w:rsidRPr="003B005C">
        <w:rPr>
          <w:rFonts w:ascii="Garamond" w:hAnsi="Garamond"/>
        </w:rPr>
        <w:t>,</w:t>
      </w:r>
      <w:r w:rsidRPr="003B005C">
        <w:rPr>
          <w:rFonts w:ascii="Garamond" w:hAnsi="Garamond"/>
          <w:bCs/>
        </w:rPr>
        <w:t xml:space="preserve"> in </w:t>
      </w:r>
      <w:r w:rsidRPr="003B005C">
        <w:rPr>
          <w:rFonts w:ascii="Garamond" w:hAnsi="Garamond"/>
          <w:bCs/>
          <w:i/>
        </w:rPr>
        <w:t>Giorn. dir. amm.</w:t>
      </w:r>
      <w:r w:rsidRPr="003B005C">
        <w:rPr>
          <w:rFonts w:ascii="Garamond" w:hAnsi="Garamond"/>
          <w:bCs/>
        </w:rPr>
        <w:t xml:space="preserve">, 2, 2016, 166 ss.; </w:t>
      </w:r>
      <w:r w:rsidRPr="003B005C">
        <w:rPr>
          <w:rFonts w:ascii="Garamond" w:hAnsi="Garamond"/>
          <w:smallCaps/>
        </w:rPr>
        <w:t>E. D’Alterio</w:t>
      </w:r>
      <w:r w:rsidRPr="003B005C">
        <w:rPr>
          <w:rFonts w:ascii="Garamond" w:hAnsi="Garamond"/>
        </w:rPr>
        <w:t xml:space="preserve">, </w:t>
      </w:r>
      <w:r w:rsidRPr="003B005C">
        <w:rPr>
          <w:rFonts w:ascii="Garamond" w:hAnsi="Garamond"/>
          <w:bCs/>
          <w:i/>
        </w:rPr>
        <w:t>Il nuovo codice dei contratti pubblici - regolare, vigilare, punire, giudicare: l'ANAC nella nuova disciplina dei contratti pubblici</w:t>
      </w:r>
      <w:r w:rsidRPr="003B005C">
        <w:rPr>
          <w:rFonts w:ascii="Garamond" w:hAnsi="Garamond"/>
          <w:bCs/>
        </w:rPr>
        <w:t xml:space="preserve">, in </w:t>
      </w:r>
      <w:r w:rsidRPr="003B005C">
        <w:rPr>
          <w:rFonts w:ascii="Garamond" w:hAnsi="Garamond"/>
          <w:bCs/>
          <w:i/>
        </w:rPr>
        <w:t>Giorn. dir. amm.</w:t>
      </w:r>
      <w:r w:rsidRPr="003B005C">
        <w:rPr>
          <w:rFonts w:ascii="Garamond" w:hAnsi="Garamond"/>
          <w:bCs/>
        </w:rPr>
        <w:t>, 4, 2016, 436 ss.</w:t>
      </w:r>
    </w:p>
  </w:footnote>
  <w:footnote w:id="16">
    <w:p w14:paraId="7ADB349D" w14:textId="77777777" w:rsidR="00B93656" w:rsidRPr="003B005C" w:rsidRDefault="00B93656" w:rsidP="003B005C">
      <w:pPr>
        <w:pStyle w:val="Testonotaapidipagina"/>
        <w:jc w:val="both"/>
        <w:rPr>
          <w:rFonts w:ascii="Garamond" w:hAnsi="Garamond"/>
        </w:rPr>
      </w:pPr>
      <w:r w:rsidRPr="003B005C">
        <w:rPr>
          <w:rStyle w:val="Rimandonotaapidipagina"/>
          <w:rFonts w:ascii="Garamond" w:hAnsi="Garamond"/>
        </w:rPr>
        <w:footnoteRef/>
      </w:r>
      <w:r w:rsidRPr="003B005C">
        <w:rPr>
          <w:rFonts w:ascii="Garamond" w:hAnsi="Garamond"/>
        </w:rPr>
        <w:t xml:space="preserve"> Su cui può vedersi V. Turchini, </w:t>
      </w:r>
      <w:r w:rsidRPr="003B005C">
        <w:rPr>
          <w:rFonts w:ascii="Garamond" w:hAnsi="Garamond"/>
          <w:i/>
        </w:rPr>
        <w:t>La colpa grave e il ruolo degli organismi di attestazione nei procedimenti sanzionatori dell’ANAC</w:t>
      </w:r>
      <w:r w:rsidRPr="003B005C">
        <w:rPr>
          <w:rFonts w:ascii="Garamond" w:hAnsi="Garamond"/>
        </w:rPr>
        <w:t>,</w:t>
      </w:r>
      <w:r w:rsidRPr="003B005C">
        <w:rPr>
          <w:rFonts w:ascii="Garamond" w:hAnsi="Garamond"/>
          <w:bCs/>
        </w:rPr>
        <w:t xml:space="preserve"> in </w:t>
      </w:r>
      <w:r w:rsidRPr="003B005C">
        <w:rPr>
          <w:rFonts w:ascii="Garamond" w:hAnsi="Garamond"/>
          <w:bCs/>
          <w:i/>
        </w:rPr>
        <w:t>Giorn. dir. amm.</w:t>
      </w:r>
      <w:r w:rsidRPr="003B005C">
        <w:rPr>
          <w:rFonts w:ascii="Garamond" w:hAnsi="Garamond"/>
          <w:bCs/>
        </w:rPr>
        <w:t>, 3/2016, 383 ss.</w:t>
      </w:r>
    </w:p>
  </w:footnote>
  <w:footnote w:id="17">
    <w:p w14:paraId="467E6F95" w14:textId="6B413BD0" w:rsidR="00B93656" w:rsidRPr="003B005C" w:rsidRDefault="00B93656" w:rsidP="003B005C">
      <w:pPr>
        <w:pStyle w:val="Testonotaapidipagina"/>
        <w:jc w:val="both"/>
        <w:rPr>
          <w:rFonts w:ascii="Garamond" w:hAnsi="Garamond"/>
        </w:rPr>
      </w:pPr>
      <w:r w:rsidRPr="003B005C">
        <w:rPr>
          <w:rStyle w:val="Rimandonotaapidipagina"/>
          <w:rFonts w:ascii="Garamond" w:hAnsi="Garamond"/>
        </w:rPr>
        <w:footnoteRef/>
      </w:r>
      <w:r w:rsidRPr="003B005C">
        <w:rPr>
          <w:rFonts w:ascii="Garamond" w:hAnsi="Garamond"/>
        </w:rPr>
        <w:t xml:space="preserve"> Su alcune questioni problematiche relative all’annotazione nel casellario informatico, può vedersi B</w:t>
      </w:r>
      <w:r w:rsidRPr="003B005C">
        <w:rPr>
          <w:rFonts w:ascii="Garamond" w:hAnsi="Garamond"/>
          <w:smallCaps/>
        </w:rPr>
        <w:t>. Amicarelli</w:t>
      </w:r>
      <w:r w:rsidRPr="003B005C">
        <w:rPr>
          <w:rFonts w:ascii="Garamond" w:hAnsi="Garamond"/>
        </w:rPr>
        <w:t xml:space="preserve">, </w:t>
      </w:r>
      <w:r w:rsidRPr="003B005C">
        <w:rPr>
          <w:rFonts w:ascii="Garamond" w:hAnsi="Garamond"/>
          <w:i/>
        </w:rPr>
        <w:t>Il procedimento di annotazione dell'ANAC e la tutela dei privati</w:t>
      </w:r>
      <w:r w:rsidRPr="003B005C">
        <w:rPr>
          <w:rFonts w:ascii="Garamond" w:hAnsi="Garamond"/>
        </w:rPr>
        <w:t>,</w:t>
      </w:r>
      <w:r w:rsidRPr="003B005C">
        <w:rPr>
          <w:rFonts w:ascii="Garamond" w:hAnsi="Garamond"/>
          <w:bCs/>
        </w:rPr>
        <w:t xml:space="preserve"> in </w:t>
      </w:r>
      <w:r w:rsidRPr="003B005C">
        <w:rPr>
          <w:rFonts w:ascii="Garamond" w:hAnsi="Garamond"/>
          <w:bCs/>
          <w:i/>
        </w:rPr>
        <w:t>Giorn. dir. amm.</w:t>
      </w:r>
      <w:r w:rsidRPr="003B005C">
        <w:rPr>
          <w:rFonts w:ascii="Garamond" w:hAnsi="Garamond"/>
          <w:bCs/>
        </w:rPr>
        <w:t>, 2, 2018, 238 ss.</w:t>
      </w:r>
    </w:p>
  </w:footnote>
  <w:footnote w:id="18">
    <w:p w14:paraId="1E103FE3" w14:textId="0EEB6CEE" w:rsidR="00FA3D81" w:rsidRPr="003B005C" w:rsidRDefault="00FA3D81" w:rsidP="003B005C">
      <w:pPr>
        <w:pStyle w:val="Testonotaapidipagina"/>
        <w:jc w:val="both"/>
        <w:rPr>
          <w:rFonts w:ascii="Garamond" w:hAnsi="Garamond"/>
        </w:rPr>
      </w:pPr>
      <w:r w:rsidRPr="003B005C">
        <w:rPr>
          <w:rStyle w:val="Rimandonotaapidipagina"/>
          <w:rFonts w:ascii="Garamond" w:hAnsi="Garamond"/>
        </w:rPr>
        <w:footnoteRef/>
      </w:r>
      <w:r w:rsidRPr="003B005C">
        <w:rPr>
          <w:rFonts w:ascii="Garamond" w:hAnsi="Garamond"/>
        </w:rPr>
        <w:t xml:space="preserve"> W. Giulietti, </w:t>
      </w:r>
      <w:r w:rsidR="0072032F" w:rsidRPr="003B005C">
        <w:rPr>
          <w:rFonts w:ascii="Garamond" w:hAnsi="Garamond"/>
          <w:i/>
          <w:iCs/>
        </w:rPr>
        <w:t>La vigilanza dell’A.N.A.C. in materia di contratti pubblici tra potere ispettivo e speciale legittimazione ad agire in giudizio</w:t>
      </w:r>
      <w:r w:rsidR="00E40689" w:rsidRPr="003B005C">
        <w:rPr>
          <w:rFonts w:ascii="Garamond" w:hAnsi="Garamond"/>
        </w:rPr>
        <w:t xml:space="preserve">, in </w:t>
      </w:r>
      <w:r w:rsidR="00E40689" w:rsidRPr="003B005C">
        <w:rPr>
          <w:rFonts w:ascii="Garamond" w:hAnsi="Garamond"/>
          <w:i/>
          <w:iCs/>
        </w:rPr>
        <w:t>Riv. giur. ed.</w:t>
      </w:r>
      <w:r w:rsidR="00E40689" w:rsidRPr="003B005C">
        <w:rPr>
          <w:rFonts w:ascii="Garamond" w:hAnsi="Garamond"/>
        </w:rPr>
        <w:t>, 2/2022, 99 ss.</w:t>
      </w:r>
    </w:p>
  </w:footnote>
  <w:footnote w:id="19">
    <w:p w14:paraId="6088581B" w14:textId="77777777" w:rsidR="006845FB" w:rsidRPr="003B005C" w:rsidRDefault="006845FB" w:rsidP="003B005C">
      <w:pPr>
        <w:pStyle w:val="Testonotaapidipagina"/>
        <w:jc w:val="both"/>
        <w:rPr>
          <w:rFonts w:ascii="Garamond" w:hAnsi="Garamond"/>
        </w:rPr>
      </w:pPr>
      <w:r w:rsidRPr="003B005C">
        <w:rPr>
          <w:rStyle w:val="Rimandonotaapidipagina"/>
          <w:rFonts w:ascii="Garamond" w:hAnsi="Garamond" w:cs="Times New Roman"/>
        </w:rPr>
        <w:footnoteRef/>
      </w:r>
      <w:r w:rsidRPr="003B005C">
        <w:rPr>
          <w:rFonts w:ascii="Garamond" w:hAnsi="Garamond"/>
        </w:rPr>
        <w:t xml:space="preserve"> Al momento in cui si scrive vi è stato un primo caso di ricorso diretto dell’Anac, accolto con sentenza del TAR Lombardia, Milano, 3 febbraio 2020, n. 240 che ha confermato la prova ricorrente – tipo dell’Anac a pieni voti. Sul punto sia consentito rinviare a </w:t>
      </w:r>
      <w:r w:rsidRPr="003B005C">
        <w:rPr>
          <w:rFonts w:ascii="Garamond" w:hAnsi="Garamond"/>
          <w:smallCaps/>
        </w:rPr>
        <w:t xml:space="preserve">I. A. Nicotra – V.Varone, </w:t>
      </w:r>
      <w:r w:rsidRPr="003B005C">
        <w:rPr>
          <w:rFonts w:ascii="Garamond" w:hAnsi="Garamond"/>
          <w:i/>
        </w:rPr>
        <w:t>Appalti, l’Anac può impugnare gli atti di gara: ecco le regole della legittimazione straordinaria</w:t>
      </w:r>
      <w:r w:rsidRPr="003B005C">
        <w:rPr>
          <w:rFonts w:ascii="Garamond" w:hAnsi="Garamond"/>
          <w:smallCaps/>
        </w:rPr>
        <w:t xml:space="preserve">, </w:t>
      </w:r>
      <w:r w:rsidRPr="003B005C">
        <w:rPr>
          <w:rFonts w:ascii="Garamond" w:hAnsi="Garamond"/>
        </w:rPr>
        <w:t>in</w:t>
      </w:r>
      <w:r w:rsidRPr="003B005C">
        <w:rPr>
          <w:rFonts w:ascii="Garamond" w:hAnsi="Garamond"/>
          <w:smallCaps/>
        </w:rPr>
        <w:t xml:space="preserve"> A</w:t>
      </w:r>
      <w:r w:rsidRPr="003B005C">
        <w:rPr>
          <w:rFonts w:ascii="Garamond" w:hAnsi="Garamond"/>
        </w:rPr>
        <w:t>genda digitale.Ue, 24 febbraio 2020. in</w:t>
      </w:r>
    </w:p>
  </w:footnote>
  <w:footnote w:id="20">
    <w:p w14:paraId="21E2AC16" w14:textId="15D35DF7" w:rsidR="003B005C" w:rsidRPr="003B005C" w:rsidRDefault="003B005C" w:rsidP="003B005C">
      <w:pPr>
        <w:pStyle w:val="Testonotaapidipagina"/>
        <w:jc w:val="both"/>
        <w:rPr>
          <w:rFonts w:ascii="Garamond" w:hAnsi="Garamond" w:cs="Times New Roman"/>
        </w:rPr>
      </w:pPr>
      <w:r w:rsidRPr="003B005C">
        <w:rPr>
          <w:rStyle w:val="Rimandonotaapidipagina"/>
          <w:rFonts w:ascii="Garamond" w:hAnsi="Garamond" w:cs="Times New Roman"/>
        </w:rPr>
        <w:footnoteRef/>
      </w:r>
      <w:r w:rsidRPr="003B005C">
        <w:rPr>
          <w:rFonts w:ascii="Garamond" w:hAnsi="Garamond" w:cs="Times New Roman"/>
        </w:rPr>
        <w:t xml:space="preserve"> Fra gli altri, per l’esame del nuovo strumento, O. Solina, </w:t>
      </w:r>
      <w:r>
        <w:rPr>
          <w:rFonts w:ascii="Garamond" w:hAnsi="Garamond" w:cs="Times New Roman"/>
          <w:i/>
          <w:iCs/>
        </w:rPr>
        <w:t>La legittimazione speciale dell’ANAC</w:t>
      </w:r>
      <w:r>
        <w:rPr>
          <w:rFonts w:ascii="Garamond" w:hAnsi="Garamond" w:cs="Times New Roman"/>
        </w:rPr>
        <w:t>,</w:t>
      </w:r>
      <w:r>
        <w:rPr>
          <w:rFonts w:ascii="Garamond" w:hAnsi="Garamond" w:cs="Times New Roman"/>
          <w:i/>
          <w:iCs/>
        </w:rPr>
        <w:t xml:space="preserve"> </w:t>
      </w:r>
      <w:r w:rsidRPr="003B005C">
        <w:rPr>
          <w:rFonts w:ascii="Garamond" w:hAnsi="Garamond" w:cs="Times New Roman"/>
        </w:rPr>
        <w:t xml:space="preserve">in </w:t>
      </w:r>
      <w:r w:rsidRPr="003B005C">
        <w:rPr>
          <w:rFonts w:ascii="Garamond" w:hAnsi="Garamond" w:cs="Times New Roman"/>
        </w:rPr>
        <w:t xml:space="preserve">M. Macchia, </w:t>
      </w:r>
      <w:r w:rsidRPr="003B005C">
        <w:rPr>
          <w:rFonts w:ascii="Garamond" w:hAnsi="Garamond" w:cs="Times New Roman"/>
          <w:i/>
          <w:iCs/>
        </w:rPr>
        <w:t>Quando lo Stato fa causa allo Stato</w:t>
      </w:r>
      <w:r w:rsidRPr="003B005C">
        <w:rPr>
          <w:rFonts w:ascii="Garamond" w:hAnsi="Garamond" w:cs="Times New Roman"/>
        </w:rPr>
        <w:t>, Napoli, 2019</w:t>
      </w:r>
      <w:r>
        <w:rPr>
          <w:rFonts w:ascii="Garamond" w:hAnsi="Garamond" w:cs="Times New Roman"/>
        </w:rPr>
        <w:t>, 65 ss.</w:t>
      </w:r>
    </w:p>
  </w:footnote>
  <w:footnote w:id="21">
    <w:p w14:paraId="426CDB53" w14:textId="77777777" w:rsidR="006845FB" w:rsidRPr="003B005C" w:rsidRDefault="006845FB" w:rsidP="003B005C">
      <w:pPr>
        <w:pStyle w:val="Testonotaapidipagina"/>
        <w:jc w:val="both"/>
        <w:rPr>
          <w:rFonts w:ascii="Garamond" w:hAnsi="Garamond"/>
        </w:rPr>
      </w:pPr>
      <w:r w:rsidRPr="003B005C">
        <w:rPr>
          <w:rStyle w:val="Rimandonotaapidipagina"/>
          <w:rFonts w:ascii="Garamond" w:hAnsi="Garamond"/>
        </w:rPr>
        <w:footnoteRef/>
      </w:r>
      <w:r w:rsidRPr="003B005C">
        <w:rPr>
          <w:rFonts w:ascii="Garamond" w:hAnsi="Garamond"/>
        </w:rPr>
        <w:t xml:space="preserve"> Per alcune riflessioni sulle maggiori problematiche sollevate dall’art. 21-</w:t>
      </w:r>
      <w:r w:rsidRPr="003B005C">
        <w:rPr>
          <w:rFonts w:ascii="Garamond" w:hAnsi="Garamond"/>
          <w:i/>
        </w:rPr>
        <w:t>bis</w:t>
      </w:r>
      <w:r w:rsidRPr="003B005C">
        <w:rPr>
          <w:rFonts w:ascii="Garamond" w:hAnsi="Garamond"/>
        </w:rPr>
        <w:t xml:space="preserve">, l. 287/1990, possono vedersi </w:t>
      </w:r>
      <w:r w:rsidRPr="003B005C">
        <w:rPr>
          <w:rFonts w:ascii="Garamond" w:hAnsi="Garamond"/>
          <w:smallCaps/>
        </w:rPr>
        <w:t>M.A. Sandulli</w:t>
      </w:r>
      <w:r w:rsidRPr="003B005C">
        <w:rPr>
          <w:rFonts w:ascii="Garamond" w:hAnsi="Garamond"/>
        </w:rPr>
        <w:t xml:space="preserve">, </w:t>
      </w:r>
      <w:r w:rsidRPr="003B005C">
        <w:rPr>
          <w:rFonts w:ascii="Garamond" w:hAnsi="Garamond"/>
          <w:i/>
        </w:rPr>
        <w:t>Introduzione a un dibattito sul nuovo potere di legittimazione al ricorso dell'AGCM nell'art. 21 bis l. n. 287 del 1990</w:t>
      </w:r>
      <w:r w:rsidRPr="003B005C">
        <w:rPr>
          <w:rFonts w:ascii="Garamond" w:hAnsi="Garamond"/>
        </w:rPr>
        <w:t xml:space="preserve">, in </w:t>
      </w:r>
      <w:r w:rsidRPr="003B005C">
        <w:rPr>
          <w:rFonts w:ascii="Garamond" w:hAnsi="Garamond"/>
          <w:i/>
        </w:rPr>
        <w:t>federalismi.it</w:t>
      </w:r>
      <w:r w:rsidRPr="003B005C">
        <w:rPr>
          <w:rFonts w:ascii="Garamond" w:hAnsi="Garamond"/>
        </w:rPr>
        <w:t xml:space="preserve">, 12/2012; </w:t>
      </w:r>
      <w:r w:rsidRPr="003B005C">
        <w:rPr>
          <w:rFonts w:ascii="Garamond" w:hAnsi="Garamond"/>
          <w:smallCaps/>
        </w:rPr>
        <w:t>F. Cintioli</w:t>
      </w:r>
      <w:r w:rsidRPr="003B005C">
        <w:rPr>
          <w:rFonts w:ascii="Garamond" w:hAnsi="Garamond"/>
        </w:rPr>
        <w:t xml:space="preserve">, </w:t>
      </w:r>
      <w:r w:rsidRPr="003B005C">
        <w:rPr>
          <w:rFonts w:ascii="Garamond" w:hAnsi="Garamond"/>
          <w:i/>
        </w:rPr>
        <w:t>Osservazioni sul ricorso giurisdizionale dell'Autorità garante della concorrenza e del mercato e sulla legittimazione a ricorrere delle autorità indipendenti</w:t>
      </w:r>
      <w:r w:rsidRPr="003B005C">
        <w:rPr>
          <w:rFonts w:ascii="Garamond" w:hAnsi="Garamond"/>
        </w:rPr>
        <w:t>, in</w:t>
      </w:r>
      <w:r w:rsidRPr="003B005C">
        <w:rPr>
          <w:rFonts w:ascii="Garamond" w:hAnsi="Garamond"/>
          <w:i/>
        </w:rPr>
        <w:t xml:space="preserve"> federalismi.it, </w:t>
      </w:r>
      <w:r w:rsidRPr="003B005C">
        <w:rPr>
          <w:rFonts w:ascii="Garamond" w:hAnsi="Garamond"/>
        </w:rPr>
        <w:t xml:space="preserve">n. 12/2012; </w:t>
      </w:r>
      <w:r w:rsidRPr="003B005C">
        <w:rPr>
          <w:rFonts w:ascii="Garamond" w:hAnsi="Garamond"/>
          <w:smallCaps/>
        </w:rPr>
        <w:t>R. Politi</w:t>
      </w:r>
      <w:r w:rsidRPr="003B005C">
        <w:rPr>
          <w:rFonts w:ascii="Garamond" w:hAnsi="Garamond"/>
        </w:rPr>
        <w:t xml:space="preserve">, </w:t>
      </w:r>
      <w:r w:rsidRPr="003B005C">
        <w:rPr>
          <w:rFonts w:ascii="Garamond" w:hAnsi="Garamond"/>
          <w:i/>
        </w:rPr>
        <w:t>Ricadute processuali a fronte dell'esercizio dei nuovi poteri rimessi all'AGCM ex art. 21-b della l. 287/1990. Legittimazione al ricorso ed individuazione dell'interesse alla sollecitazione del sindacato</w:t>
      </w:r>
      <w:r w:rsidRPr="003B005C">
        <w:rPr>
          <w:rFonts w:ascii="Garamond" w:hAnsi="Garamond"/>
        </w:rPr>
        <w:t xml:space="preserve">, in </w:t>
      </w:r>
      <w:r w:rsidRPr="003B005C">
        <w:rPr>
          <w:rFonts w:ascii="Garamond" w:hAnsi="Garamond"/>
          <w:i/>
        </w:rPr>
        <w:t>federalismi.it</w:t>
      </w:r>
      <w:r w:rsidRPr="003B005C">
        <w:rPr>
          <w:rFonts w:ascii="Garamond" w:hAnsi="Garamond"/>
        </w:rPr>
        <w:t xml:space="preserve">, 12/2012; </w:t>
      </w:r>
      <w:r w:rsidRPr="003B005C">
        <w:rPr>
          <w:rFonts w:ascii="Garamond" w:hAnsi="Garamond"/>
          <w:smallCaps/>
        </w:rPr>
        <w:t>G. Urbano</w:t>
      </w:r>
      <w:r w:rsidRPr="003B005C">
        <w:rPr>
          <w:rFonts w:ascii="Garamond" w:hAnsi="Garamond"/>
        </w:rPr>
        <w:t xml:space="preserve">, </w:t>
      </w:r>
      <w:r w:rsidRPr="003B005C">
        <w:rPr>
          <w:rFonts w:ascii="Garamond" w:hAnsi="Garamond"/>
          <w:i/>
        </w:rPr>
        <w:t>I nuovi poteri processuali delle Autorità indipendenti</w:t>
      </w:r>
      <w:r w:rsidRPr="003B005C">
        <w:rPr>
          <w:rFonts w:ascii="Garamond" w:hAnsi="Garamond"/>
        </w:rPr>
        <w:t xml:space="preserve">, in </w:t>
      </w:r>
      <w:r w:rsidRPr="003B005C">
        <w:rPr>
          <w:rFonts w:ascii="Garamond" w:hAnsi="Garamond"/>
          <w:i/>
        </w:rPr>
        <w:t>Giorn. dir. amm</w:t>
      </w:r>
      <w:r w:rsidRPr="003B005C">
        <w:rPr>
          <w:rFonts w:ascii="Garamond" w:hAnsi="Garamond"/>
        </w:rPr>
        <w:t xml:space="preserve">., 10/2012, 1022 ss.; </w:t>
      </w:r>
      <w:r w:rsidRPr="003B005C">
        <w:rPr>
          <w:rFonts w:ascii="Garamond" w:hAnsi="Garamond"/>
          <w:smallCaps/>
        </w:rPr>
        <w:t>R. Giovagnoli</w:t>
      </w:r>
      <w:r w:rsidRPr="003B005C">
        <w:rPr>
          <w:rFonts w:ascii="Garamond" w:hAnsi="Garamond"/>
        </w:rPr>
        <w:t xml:space="preserve">, </w:t>
      </w:r>
      <w:r w:rsidRPr="003B005C">
        <w:rPr>
          <w:rFonts w:ascii="Garamond" w:hAnsi="Garamond"/>
          <w:i/>
        </w:rPr>
        <w:t>Atti amministrativi e tutela della concorrenza. Il potere di legittimazione a ricorrere dell'AGCM nell'art. 21-bis legge n. 287/1990</w:t>
      </w:r>
      <w:r w:rsidRPr="003B005C">
        <w:rPr>
          <w:rFonts w:ascii="Garamond" w:hAnsi="Garamond"/>
        </w:rPr>
        <w:t xml:space="preserve">, in </w:t>
      </w:r>
      <w:r w:rsidRPr="003B005C">
        <w:rPr>
          <w:rFonts w:ascii="Garamond" w:hAnsi="Garamond"/>
          <w:i/>
        </w:rPr>
        <w:t>giustizia-amministrativa.it</w:t>
      </w:r>
      <w:r w:rsidRPr="003B005C">
        <w:rPr>
          <w:rFonts w:ascii="Garamond" w:hAnsi="Garamond"/>
        </w:rPr>
        <w:t xml:space="preserve">; </w:t>
      </w:r>
      <w:r w:rsidRPr="003B005C">
        <w:rPr>
          <w:rFonts w:ascii="Garamond" w:hAnsi="Garamond"/>
          <w:smallCaps/>
        </w:rPr>
        <w:t>M. Libertini</w:t>
      </w:r>
      <w:r w:rsidRPr="003B005C">
        <w:rPr>
          <w:rFonts w:ascii="Garamond" w:hAnsi="Garamond"/>
        </w:rPr>
        <w:t xml:space="preserve">, </w:t>
      </w:r>
      <w:r w:rsidRPr="003B005C">
        <w:rPr>
          <w:rFonts w:ascii="Garamond" w:hAnsi="Garamond"/>
          <w:i/>
        </w:rPr>
        <w:t>I nuovi poteri dell'Autorità Antitrust (art. 35 d.l. n. 201/2011)</w:t>
      </w:r>
      <w:r w:rsidRPr="003B005C">
        <w:rPr>
          <w:rFonts w:ascii="Garamond" w:hAnsi="Garamond"/>
        </w:rPr>
        <w:t xml:space="preserve">, in </w:t>
      </w:r>
      <w:r w:rsidRPr="003B005C">
        <w:rPr>
          <w:rFonts w:ascii="Garamond" w:hAnsi="Garamond"/>
          <w:i/>
        </w:rPr>
        <w:t>federalismi.it</w:t>
      </w:r>
      <w:r w:rsidRPr="003B005C">
        <w:rPr>
          <w:rFonts w:ascii="Garamond" w:hAnsi="Garamond"/>
        </w:rPr>
        <w:t xml:space="preserve">, 24/2011; </w:t>
      </w:r>
      <w:r w:rsidRPr="003B005C">
        <w:rPr>
          <w:rFonts w:ascii="Garamond" w:hAnsi="Garamond"/>
          <w:smallCaps/>
        </w:rPr>
        <w:t>F. Satta</w:t>
      </w:r>
      <w:r w:rsidRPr="003B005C">
        <w:rPr>
          <w:rFonts w:ascii="Garamond" w:hAnsi="Garamond"/>
        </w:rPr>
        <w:t xml:space="preserve">, </w:t>
      </w:r>
      <w:r w:rsidRPr="003B005C">
        <w:rPr>
          <w:rFonts w:ascii="Garamond" w:hAnsi="Garamond"/>
          <w:i/>
        </w:rPr>
        <w:t>Intorno alla legittimazione dell'Autorità Garante della concorrenza e del mercato a chiamare in giudizio pubbliche amministrazioni</w:t>
      </w:r>
      <w:r w:rsidRPr="003B005C">
        <w:rPr>
          <w:rFonts w:ascii="Garamond" w:hAnsi="Garamond"/>
        </w:rPr>
        <w:t xml:space="preserve">, in </w:t>
      </w:r>
      <w:r w:rsidRPr="003B005C">
        <w:rPr>
          <w:rFonts w:ascii="Garamond" w:hAnsi="Garamond"/>
          <w:i/>
        </w:rPr>
        <w:t>ApertaContrada.it</w:t>
      </w:r>
      <w:r w:rsidRPr="003B005C">
        <w:rPr>
          <w:rFonts w:ascii="Garamond" w:hAnsi="Garamond"/>
        </w:rPr>
        <w:t xml:space="preserve">, 2012; </w:t>
      </w:r>
      <w:r w:rsidRPr="003B005C">
        <w:rPr>
          <w:rFonts w:ascii="Garamond" w:hAnsi="Garamond"/>
          <w:smallCaps/>
        </w:rPr>
        <w:t>F. Goisis</w:t>
      </w:r>
      <w:r w:rsidRPr="003B005C">
        <w:rPr>
          <w:rFonts w:ascii="Garamond" w:hAnsi="Garamond"/>
        </w:rPr>
        <w:t xml:space="preserve">, </w:t>
      </w:r>
      <w:r w:rsidRPr="003B005C">
        <w:rPr>
          <w:rFonts w:ascii="Garamond" w:hAnsi="Garamond"/>
          <w:i/>
        </w:rPr>
        <w:t>Il potere di iniziativa dell'Autorità garante della concorrenza e del mercato</w:t>
      </w:r>
      <w:r w:rsidRPr="003B005C">
        <w:rPr>
          <w:rFonts w:ascii="Garamond" w:hAnsi="Garamond"/>
        </w:rPr>
        <w:t xml:space="preserve">, in </w:t>
      </w:r>
      <w:r w:rsidRPr="003B005C">
        <w:rPr>
          <w:rFonts w:ascii="Garamond" w:hAnsi="Garamond"/>
          <w:i/>
        </w:rPr>
        <w:t>Dir. proc. amm.</w:t>
      </w:r>
      <w:r w:rsidRPr="003B005C">
        <w:rPr>
          <w:rFonts w:ascii="Garamond" w:hAnsi="Garamond"/>
        </w:rPr>
        <w:t>, 2013, 471 ss.</w:t>
      </w:r>
    </w:p>
  </w:footnote>
  <w:footnote w:id="22">
    <w:p w14:paraId="6526E25B" w14:textId="3F0482E5" w:rsidR="006845FB" w:rsidRPr="003B005C" w:rsidRDefault="006845FB" w:rsidP="003B005C">
      <w:pPr>
        <w:pStyle w:val="Testonotaapidipagina"/>
        <w:jc w:val="both"/>
        <w:rPr>
          <w:rFonts w:ascii="Garamond" w:hAnsi="Garamond" w:cs="Times New Roman"/>
        </w:rPr>
      </w:pPr>
      <w:r w:rsidRPr="003B005C">
        <w:rPr>
          <w:rStyle w:val="Rimandonotaapidipagina"/>
          <w:rFonts w:ascii="Garamond" w:hAnsi="Garamond"/>
        </w:rPr>
        <w:footnoteRef/>
      </w:r>
      <w:r w:rsidRPr="003B005C">
        <w:rPr>
          <w:rFonts w:ascii="Garamond" w:hAnsi="Garamond"/>
        </w:rPr>
        <w:t xml:space="preserve"> In questi casi non sono mancati in dottrina dubbi di legittimità costituzionale dello strumento, sintetizzabili nella coerenza dello stesso con un sistema di giurisdizione oggettiva come è quella del nostro sistema processuale amministrativo. Tali dubbi sono arrivati, per quanto concerne l’art. 21</w:t>
      </w:r>
      <w:r w:rsidRPr="003B005C">
        <w:rPr>
          <w:rFonts w:ascii="Garamond" w:hAnsi="Garamond"/>
          <w:i/>
        </w:rPr>
        <w:t>-bis</w:t>
      </w:r>
      <w:r w:rsidRPr="003B005C">
        <w:rPr>
          <w:rFonts w:ascii="Garamond" w:hAnsi="Garamond"/>
        </w:rPr>
        <w:t xml:space="preserve">, anche in Corte costituzionale che li ha respinti, ritenendo la legittimazione processuale dell’Agcm compatibile con la Costituzione e con il quadro normativo che ne consegue (Corte cost., 14 febbraio </w:t>
      </w:r>
      <w:r w:rsidRPr="003B005C">
        <w:rPr>
          <w:rFonts w:ascii="Garamond" w:hAnsi="Garamond" w:cs="Times New Roman"/>
        </w:rPr>
        <w:t>2013, n. 20).</w:t>
      </w:r>
      <w:r w:rsidR="003B005C" w:rsidRPr="003B005C">
        <w:rPr>
          <w:rFonts w:ascii="Garamond" w:hAnsi="Garamond" w:cs="Times New Roman"/>
        </w:rPr>
        <w:t xml:space="preserve"> In linea generale sul tema, M. Macchia, </w:t>
      </w:r>
      <w:r w:rsidR="003B005C" w:rsidRPr="003B005C">
        <w:rPr>
          <w:rFonts w:ascii="Garamond" w:hAnsi="Garamond" w:cs="Times New Roman"/>
          <w:i/>
          <w:iCs/>
        </w:rPr>
        <w:t>Quando lo Stato fa causa allo Stato</w:t>
      </w:r>
      <w:r w:rsidR="003B005C" w:rsidRPr="003B005C">
        <w:rPr>
          <w:rFonts w:ascii="Garamond" w:hAnsi="Garamond" w:cs="Times New Roman"/>
        </w:rPr>
        <w:t xml:space="preserve">, </w:t>
      </w:r>
      <w:r w:rsidR="003B005C">
        <w:rPr>
          <w:rFonts w:ascii="Garamond" w:hAnsi="Garamond" w:cs="Times New Roman"/>
        </w:rPr>
        <w:t>cit.</w:t>
      </w:r>
    </w:p>
    <w:p w14:paraId="1FC6A9C8" w14:textId="77777777" w:rsidR="006845FB" w:rsidRPr="003B005C" w:rsidRDefault="006845FB" w:rsidP="003B005C">
      <w:pPr>
        <w:pStyle w:val="Testonotaapidipagina"/>
        <w:jc w:val="both"/>
        <w:rPr>
          <w:rFonts w:ascii="Garamond" w:hAnsi="Garamond"/>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4"/>
    <w:multiLevelType w:val="multilevel"/>
    <w:tmpl w:val="00000004"/>
    <w:name w:val="WW8Num4"/>
    <w:lvl w:ilvl="0">
      <w:start w:val="1"/>
      <w:numFmt w:val="bullet"/>
      <w:lvlText w:val=""/>
      <w:lvlJc w:val="left"/>
      <w:pPr>
        <w:tabs>
          <w:tab w:val="num" w:pos="0"/>
        </w:tabs>
        <w:ind w:left="360" w:hanging="360"/>
      </w:pPr>
      <w:rPr>
        <w:rFonts w:ascii="Symbol" w:hAnsi="Symbol" w:cs="Symbo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800" w:hanging="360"/>
      </w:pPr>
      <w:rPr>
        <w:rFonts w:ascii="Wingdings" w:hAnsi="Wingdings" w:cs="Wingdings"/>
      </w:rPr>
    </w:lvl>
    <w:lvl w:ilvl="3">
      <w:start w:val="1"/>
      <w:numFmt w:val="bullet"/>
      <w:lvlText w:val=""/>
      <w:lvlJc w:val="left"/>
      <w:pPr>
        <w:tabs>
          <w:tab w:val="num" w:pos="0"/>
        </w:tabs>
        <w:ind w:left="2520" w:hanging="360"/>
      </w:pPr>
      <w:rPr>
        <w:rFonts w:ascii="Symbol" w:hAnsi="Symbol" w:cs="Symbol"/>
      </w:rPr>
    </w:lvl>
    <w:lvl w:ilvl="4">
      <w:start w:val="1"/>
      <w:numFmt w:val="bullet"/>
      <w:lvlText w:val="o"/>
      <w:lvlJc w:val="left"/>
      <w:pPr>
        <w:tabs>
          <w:tab w:val="num" w:pos="0"/>
        </w:tabs>
        <w:ind w:left="3240" w:hanging="360"/>
      </w:pPr>
      <w:rPr>
        <w:rFonts w:ascii="Courier New" w:hAnsi="Courier New" w:cs="Courier New"/>
      </w:rPr>
    </w:lvl>
    <w:lvl w:ilvl="5">
      <w:start w:val="1"/>
      <w:numFmt w:val="bullet"/>
      <w:lvlText w:val=""/>
      <w:lvlJc w:val="left"/>
      <w:pPr>
        <w:tabs>
          <w:tab w:val="num" w:pos="0"/>
        </w:tabs>
        <w:ind w:left="3960" w:hanging="360"/>
      </w:pPr>
      <w:rPr>
        <w:rFonts w:ascii="Wingdings" w:hAnsi="Wingdings" w:cs="Wingdings"/>
      </w:rPr>
    </w:lvl>
    <w:lvl w:ilvl="6">
      <w:start w:val="1"/>
      <w:numFmt w:val="bullet"/>
      <w:lvlText w:val=""/>
      <w:lvlJc w:val="left"/>
      <w:pPr>
        <w:tabs>
          <w:tab w:val="num" w:pos="0"/>
        </w:tabs>
        <w:ind w:left="4680" w:hanging="360"/>
      </w:pPr>
      <w:rPr>
        <w:rFonts w:ascii="Symbol" w:hAnsi="Symbol" w:cs="Symbol"/>
      </w:rPr>
    </w:lvl>
    <w:lvl w:ilvl="7">
      <w:start w:val="1"/>
      <w:numFmt w:val="bullet"/>
      <w:lvlText w:val="o"/>
      <w:lvlJc w:val="left"/>
      <w:pPr>
        <w:tabs>
          <w:tab w:val="num" w:pos="0"/>
        </w:tabs>
        <w:ind w:left="5400" w:hanging="360"/>
      </w:pPr>
      <w:rPr>
        <w:rFonts w:ascii="Courier New" w:hAnsi="Courier New" w:cs="Courier New"/>
      </w:rPr>
    </w:lvl>
    <w:lvl w:ilvl="8">
      <w:start w:val="1"/>
      <w:numFmt w:val="bullet"/>
      <w:lvlText w:val=""/>
      <w:lvlJc w:val="left"/>
      <w:pPr>
        <w:tabs>
          <w:tab w:val="num" w:pos="0"/>
        </w:tabs>
        <w:ind w:left="6120" w:hanging="360"/>
      </w:pPr>
      <w:rPr>
        <w:rFonts w:ascii="Wingdings" w:hAnsi="Wingdings" w:cs="Wingdings"/>
      </w:rPr>
    </w:lvl>
  </w:abstractNum>
  <w:num w:numId="1" w16cid:durableId="11520669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1584"/>
    <w:rsid w:val="000000DB"/>
    <w:rsid w:val="0001698E"/>
    <w:rsid w:val="00020CEF"/>
    <w:rsid w:val="0004145B"/>
    <w:rsid w:val="0004675C"/>
    <w:rsid w:val="00053B45"/>
    <w:rsid w:val="00061CC7"/>
    <w:rsid w:val="00067392"/>
    <w:rsid w:val="000677BA"/>
    <w:rsid w:val="00090EB2"/>
    <w:rsid w:val="000927A7"/>
    <w:rsid w:val="000960FC"/>
    <w:rsid w:val="00096A14"/>
    <w:rsid w:val="000A001F"/>
    <w:rsid w:val="000A3713"/>
    <w:rsid w:val="000B0202"/>
    <w:rsid w:val="000B6B91"/>
    <w:rsid w:val="0011485D"/>
    <w:rsid w:val="00126BC2"/>
    <w:rsid w:val="00147959"/>
    <w:rsid w:val="00154A4A"/>
    <w:rsid w:val="00160022"/>
    <w:rsid w:val="0017473A"/>
    <w:rsid w:val="001911D3"/>
    <w:rsid w:val="00196906"/>
    <w:rsid w:val="00196E49"/>
    <w:rsid w:val="001A65E9"/>
    <w:rsid w:val="001B3268"/>
    <w:rsid w:val="001C064E"/>
    <w:rsid w:val="001E6017"/>
    <w:rsid w:val="00226453"/>
    <w:rsid w:val="00234B55"/>
    <w:rsid w:val="00240C3E"/>
    <w:rsid w:val="00245C25"/>
    <w:rsid w:val="002536B6"/>
    <w:rsid w:val="00277985"/>
    <w:rsid w:val="0028789C"/>
    <w:rsid w:val="00291302"/>
    <w:rsid w:val="00295507"/>
    <w:rsid w:val="002A6123"/>
    <w:rsid w:val="002B0A74"/>
    <w:rsid w:val="002B1A00"/>
    <w:rsid w:val="002B5BB7"/>
    <w:rsid w:val="002D1E36"/>
    <w:rsid w:val="002E27F9"/>
    <w:rsid w:val="002F78B5"/>
    <w:rsid w:val="00302830"/>
    <w:rsid w:val="003144B7"/>
    <w:rsid w:val="00333A4A"/>
    <w:rsid w:val="003411A9"/>
    <w:rsid w:val="00351B08"/>
    <w:rsid w:val="00387FE9"/>
    <w:rsid w:val="003A0F5C"/>
    <w:rsid w:val="003A7246"/>
    <w:rsid w:val="003B005C"/>
    <w:rsid w:val="003C2122"/>
    <w:rsid w:val="003E1994"/>
    <w:rsid w:val="003F4CB3"/>
    <w:rsid w:val="00427343"/>
    <w:rsid w:val="0043030E"/>
    <w:rsid w:val="004355F4"/>
    <w:rsid w:val="004A2293"/>
    <w:rsid w:val="004C4AC8"/>
    <w:rsid w:val="004C7F81"/>
    <w:rsid w:val="004F5CC9"/>
    <w:rsid w:val="00500796"/>
    <w:rsid w:val="0050337E"/>
    <w:rsid w:val="00511BCE"/>
    <w:rsid w:val="00516D7D"/>
    <w:rsid w:val="00527A70"/>
    <w:rsid w:val="00537315"/>
    <w:rsid w:val="0054138F"/>
    <w:rsid w:val="00542F2B"/>
    <w:rsid w:val="00565E0A"/>
    <w:rsid w:val="005858A8"/>
    <w:rsid w:val="005A2E8A"/>
    <w:rsid w:val="005B00B2"/>
    <w:rsid w:val="005D4888"/>
    <w:rsid w:val="005D7E41"/>
    <w:rsid w:val="005F3F41"/>
    <w:rsid w:val="0062239B"/>
    <w:rsid w:val="00627872"/>
    <w:rsid w:val="00630818"/>
    <w:rsid w:val="006431CA"/>
    <w:rsid w:val="00656B4A"/>
    <w:rsid w:val="006845FB"/>
    <w:rsid w:val="00691773"/>
    <w:rsid w:val="006A5A31"/>
    <w:rsid w:val="006B3026"/>
    <w:rsid w:val="006D5F89"/>
    <w:rsid w:val="007023C1"/>
    <w:rsid w:val="0072032F"/>
    <w:rsid w:val="0074007C"/>
    <w:rsid w:val="00745C31"/>
    <w:rsid w:val="0079078B"/>
    <w:rsid w:val="007A7D71"/>
    <w:rsid w:val="007D6C12"/>
    <w:rsid w:val="007F3AED"/>
    <w:rsid w:val="00801584"/>
    <w:rsid w:val="0081111C"/>
    <w:rsid w:val="008158E7"/>
    <w:rsid w:val="00843212"/>
    <w:rsid w:val="00852045"/>
    <w:rsid w:val="0088403D"/>
    <w:rsid w:val="008B22F4"/>
    <w:rsid w:val="008B31FF"/>
    <w:rsid w:val="008C0BA1"/>
    <w:rsid w:val="008D0B8D"/>
    <w:rsid w:val="008D158B"/>
    <w:rsid w:val="008E36CB"/>
    <w:rsid w:val="00911B32"/>
    <w:rsid w:val="00925180"/>
    <w:rsid w:val="009324D4"/>
    <w:rsid w:val="00932C0A"/>
    <w:rsid w:val="00932C67"/>
    <w:rsid w:val="00934068"/>
    <w:rsid w:val="00936400"/>
    <w:rsid w:val="009433FC"/>
    <w:rsid w:val="00944FC8"/>
    <w:rsid w:val="009539DF"/>
    <w:rsid w:val="009631D4"/>
    <w:rsid w:val="009754D4"/>
    <w:rsid w:val="00982549"/>
    <w:rsid w:val="0098778E"/>
    <w:rsid w:val="00991DC4"/>
    <w:rsid w:val="00996703"/>
    <w:rsid w:val="009A2322"/>
    <w:rsid w:val="009A3B2F"/>
    <w:rsid w:val="009A6B0E"/>
    <w:rsid w:val="009B7458"/>
    <w:rsid w:val="009D188E"/>
    <w:rsid w:val="009D20FE"/>
    <w:rsid w:val="009D3755"/>
    <w:rsid w:val="009E6C0A"/>
    <w:rsid w:val="00A24304"/>
    <w:rsid w:val="00A4056C"/>
    <w:rsid w:val="00A42A08"/>
    <w:rsid w:val="00A460DE"/>
    <w:rsid w:val="00A56BD7"/>
    <w:rsid w:val="00A56CA0"/>
    <w:rsid w:val="00A57497"/>
    <w:rsid w:val="00A579A6"/>
    <w:rsid w:val="00A7551E"/>
    <w:rsid w:val="00A9375C"/>
    <w:rsid w:val="00A9461D"/>
    <w:rsid w:val="00AB62E3"/>
    <w:rsid w:val="00AD68BE"/>
    <w:rsid w:val="00AF10D0"/>
    <w:rsid w:val="00AF56CE"/>
    <w:rsid w:val="00B11E51"/>
    <w:rsid w:val="00B2367E"/>
    <w:rsid w:val="00B57353"/>
    <w:rsid w:val="00B65EB4"/>
    <w:rsid w:val="00B80A50"/>
    <w:rsid w:val="00B93656"/>
    <w:rsid w:val="00BA5A45"/>
    <w:rsid w:val="00BD38BC"/>
    <w:rsid w:val="00BF2018"/>
    <w:rsid w:val="00C03D31"/>
    <w:rsid w:val="00C1677D"/>
    <w:rsid w:val="00C43606"/>
    <w:rsid w:val="00C468AF"/>
    <w:rsid w:val="00C53763"/>
    <w:rsid w:val="00C72FAD"/>
    <w:rsid w:val="00C919A3"/>
    <w:rsid w:val="00C928E3"/>
    <w:rsid w:val="00CC08AD"/>
    <w:rsid w:val="00CC5CCB"/>
    <w:rsid w:val="00CE0733"/>
    <w:rsid w:val="00CE0802"/>
    <w:rsid w:val="00CE2391"/>
    <w:rsid w:val="00CF7806"/>
    <w:rsid w:val="00D06B56"/>
    <w:rsid w:val="00D90687"/>
    <w:rsid w:val="00DA2AD4"/>
    <w:rsid w:val="00DB5289"/>
    <w:rsid w:val="00DD6868"/>
    <w:rsid w:val="00DF286D"/>
    <w:rsid w:val="00E06DBD"/>
    <w:rsid w:val="00E102CB"/>
    <w:rsid w:val="00E11D7F"/>
    <w:rsid w:val="00E158FA"/>
    <w:rsid w:val="00E22CDA"/>
    <w:rsid w:val="00E26E0C"/>
    <w:rsid w:val="00E40689"/>
    <w:rsid w:val="00E5262D"/>
    <w:rsid w:val="00E56073"/>
    <w:rsid w:val="00EA1FF7"/>
    <w:rsid w:val="00EB7400"/>
    <w:rsid w:val="00EE4EF7"/>
    <w:rsid w:val="00F03CB2"/>
    <w:rsid w:val="00F05A93"/>
    <w:rsid w:val="00F22CE2"/>
    <w:rsid w:val="00F32C83"/>
    <w:rsid w:val="00F369C9"/>
    <w:rsid w:val="00F5029B"/>
    <w:rsid w:val="00F55111"/>
    <w:rsid w:val="00F708A8"/>
    <w:rsid w:val="00F80DA4"/>
    <w:rsid w:val="00F81095"/>
    <w:rsid w:val="00F83537"/>
    <w:rsid w:val="00F9033E"/>
    <w:rsid w:val="00F9691A"/>
    <w:rsid w:val="00F96F9C"/>
    <w:rsid w:val="00FA25E2"/>
    <w:rsid w:val="00FA3D81"/>
    <w:rsid w:val="00FC3C03"/>
    <w:rsid w:val="00FD1A65"/>
    <w:rsid w:val="00FD7F5B"/>
    <w:rsid w:val="00FF0435"/>
    <w:rsid w:val="00FF38A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606301"/>
  <w15:chartTrackingRefBased/>
  <w15:docId w15:val="{69209A29-0248-4FD3-8543-10A55818D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4C4AC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olo3">
    <w:name w:val="heading 3"/>
    <w:basedOn w:val="Normale"/>
    <w:next w:val="Normale"/>
    <w:link w:val="Titolo3Carattere"/>
    <w:uiPriority w:val="9"/>
    <w:unhideWhenUsed/>
    <w:qFormat/>
    <w:rsid w:val="00E158F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itolo4">
    <w:name w:val="heading 4"/>
    <w:basedOn w:val="Normale"/>
    <w:next w:val="Normale"/>
    <w:link w:val="Titolo4Carattere"/>
    <w:uiPriority w:val="9"/>
    <w:semiHidden/>
    <w:unhideWhenUsed/>
    <w:qFormat/>
    <w:rsid w:val="00B11E51"/>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semiHidden/>
    <w:unhideWhenUsed/>
    <w:rsid w:val="005D7E41"/>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5D7E41"/>
    <w:rPr>
      <w:sz w:val="20"/>
      <w:szCs w:val="20"/>
    </w:rPr>
  </w:style>
  <w:style w:type="character" w:styleId="Rimandonotaapidipagina">
    <w:name w:val="footnote reference"/>
    <w:basedOn w:val="Carpredefinitoparagrafo"/>
    <w:uiPriority w:val="99"/>
    <w:semiHidden/>
    <w:unhideWhenUsed/>
    <w:rsid w:val="005D7E41"/>
    <w:rPr>
      <w:vertAlign w:val="superscript"/>
    </w:rPr>
  </w:style>
  <w:style w:type="paragraph" w:styleId="PreformattatoHTML">
    <w:name w:val="HTML Preformatted"/>
    <w:basedOn w:val="Normale"/>
    <w:link w:val="PreformattatoHTMLCarattere"/>
    <w:uiPriority w:val="99"/>
    <w:semiHidden/>
    <w:unhideWhenUsed/>
    <w:rsid w:val="003A7246"/>
    <w:pPr>
      <w:spacing w:after="0" w:line="240" w:lineRule="auto"/>
    </w:pPr>
    <w:rPr>
      <w:rFonts w:ascii="Consolas" w:hAnsi="Consolas"/>
      <w:sz w:val="20"/>
      <w:szCs w:val="20"/>
    </w:rPr>
  </w:style>
  <w:style w:type="character" w:customStyle="1" w:styleId="PreformattatoHTMLCarattere">
    <w:name w:val="Preformattato HTML Carattere"/>
    <w:basedOn w:val="Carpredefinitoparagrafo"/>
    <w:link w:val="PreformattatoHTML"/>
    <w:uiPriority w:val="99"/>
    <w:semiHidden/>
    <w:rsid w:val="003A7246"/>
    <w:rPr>
      <w:rFonts w:ascii="Consolas" w:hAnsi="Consolas"/>
      <w:sz w:val="20"/>
      <w:szCs w:val="20"/>
    </w:rPr>
  </w:style>
  <w:style w:type="paragraph" w:styleId="NormaleWeb">
    <w:name w:val="Normal (Web)"/>
    <w:basedOn w:val="Normale"/>
    <w:uiPriority w:val="99"/>
    <w:semiHidden/>
    <w:unhideWhenUsed/>
    <w:rsid w:val="0054138F"/>
    <w:rPr>
      <w:rFonts w:ascii="Times New Roman" w:hAnsi="Times New Roman" w:cs="Times New Roman"/>
      <w:sz w:val="24"/>
      <w:szCs w:val="24"/>
    </w:rPr>
  </w:style>
  <w:style w:type="character" w:styleId="Collegamentoipertestuale">
    <w:name w:val="Hyperlink"/>
    <w:basedOn w:val="Carpredefinitoparagrafo"/>
    <w:uiPriority w:val="99"/>
    <w:unhideWhenUsed/>
    <w:rsid w:val="0054138F"/>
    <w:rPr>
      <w:color w:val="0563C1" w:themeColor="hyperlink"/>
      <w:u w:val="single"/>
    </w:rPr>
  </w:style>
  <w:style w:type="paragraph" w:styleId="Intestazione">
    <w:name w:val="header"/>
    <w:basedOn w:val="Normale"/>
    <w:link w:val="IntestazioneCarattere"/>
    <w:uiPriority w:val="99"/>
    <w:unhideWhenUsed/>
    <w:rsid w:val="003C212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C2122"/>
  </w:style>
  <w:style w:type="paragraph" w:styleId="Pidipagina">
    <w:name w:val="footer"/>
    <w:basedOn w:val="Normale"/>
    <w:link w:val="PidipaginaCarattere"/>
    <w:uiPriority w:val="99"/>
    <w:unhideWhenUsed/>
    <w:rsid w:val="003C212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C2122"/>
  </w:style>
  <w:style w:type="character" w:customStyle="1" w:styleId="Titolo4Carattere">
    <w:name w:val="Titolo 4 Carattere"/>
    <w:basedOn w:val="Carpredefinitoparagrafo"/>
    <w:link w:val="Titolo4"/>
    <w:uiPriority w:val="9"/>
    <w:semiHidden/>
    <w:rsid w:val="00B11E51"/>
    <w:rPr>
      <w:rFonts w:asciiTheme="majorHAnsi" w:eastAsiaTheme="majorEastAsia" w:hAnsiTheme="majorHAnsi" w:cstheme="majorBidi"/>
      <w:i/>
      <w:iCs/>
      <w:color w:val="2E74B5" w:themeColor="accent1" w:themeShade="BF"/>
    </w:rPr>
  </w:style>
  <w:style w:type="character" w:customStyle="1" w:styleId="Titolo3Carattere">
    <w:name w:val="Titolo 3 Carattere"/>
    <w:basedOn w:val="Carpredefinitoparagrafo"/>
    <w:link w:val="Titolo3"/>
    <w:uiPriority w:val="9"/>
    <w:rsid w:val="00E158FA"/>
    <w:rPr>
      <w:rFonts w:asciiTheme="majorHAnsi" w:eastAsiaTheme="majorEastAsia" w:hAnsiTheme="majorHAnsi" w:cstheme="majorBidi"/>
      <w:color w:val="1F4D78" w:themeColor="accent1" w:themeShade="7F"/>
      <w:sz w:val="24"/>
      <w:szCs w:val="24"/>
    </w:rPr>
  </w:style>
  <w:style w:type="character" w:customStyle="1" w:styleId="Titolo1Carattere">
    <w:name w:val="Titolo 1 Carattere"/>
    <w:basedOn w:val="Carpredefinitoparagrafo"/>
    <w:link w:val="Titolo1"/>
    <w:uiPriority w:val="9"/>
    <w:rsid w:val="004C4AC8"/>
    <w:rPr>
      <w:rFonts w:asciiTheme="majorHAnsi" w:eastAsiaTheme="majorEastAsia" w:hAnsiTheme="majorHAnsi" w:cstheme="majorBidi"/>
      <w:color w:val="2E74B5" w:themeColor="accent1" w:themeShade="BF"/>
      <w:sz w:val="32"/>
      <w:szCs w:val="32"/>
    </w:rPr>
  </w:style>
  <w:style w:type="paragraph" w:styleId="Testofumetto">
    <w:name w:val="Balloon Text"/>
    <w:basedOn w:val="Normale"/>
    <w:link w:val="TestofumettoCarattere"/>
    <w:uiPriority w:val="99"/>
    <w:semiHidden/>
    <w:unhideWhenUsed/>
    <w:rsid w:val="00932C6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932C6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56488">
      <w:bodyDiv w:val="1"/>
      <w:marLeft w:val="0"/>
      <w:marRight w:val="0"/>
      <w:marTop w:val="0"/>
      <w:marBottom w:val="0"/>
      <w:divBdr>
        <w:top w:val="none" w:sz="0" w:space="0" w:color="auto"/>
        <w:left w:val="none" w:sz="0" w:space="0" w:color="auto"/>
        <w:bottom w:val="none" w:sz="0" w:space="0" w:color="auto"/>
        <w:right w:val="none" w:sz="0" w:space="0" w:color="auto"/>
      </w:divBdr>
    </w:div>
    <w:div w:id="81074307">
      <w:bodyDiv w:val="1"/>
      <w:marLeft w:val="0"/>
      <w:marRight w:val="0"/>
      <w:marTop w:val="0"/>
      <w:marBottom w:val="0"/>
      <w:divBdr>
        <w:top w:val="none" w:sz="0" w:space="0" w:color="auto"/>
        <w:left w:val="none" w:sz="0" w:space="0" w:color="auto"/>
        <w:bottom w:val="none" w:sz="0" w:space="0" w:color="auto"/>
        <w:right w:val="none" w:sz="0" w:space="0" w:color="auto"/>
      </w:divBdr>
    </w:div>
    <w:div w:id="156849401">
      <w:bodyDiv w:val="1"/>
      <w:marLeft w:val="0"/>
      <w:marRight w:val="0"/>
      <w:marTop w:val="0"/>
      <w:marBottom w:val="0"/>
      <w:divBdr>
        <w:top w:val="none" w:sz="0" w:space="0" w:color="auto"/>
        <w:left w:val="none" w:sz="0" w:space="0" w:color="auto"/>
        <w:bottom w:val="none" w:sz="0" w:space="0" w:color="auto"/>
        <w:right w:val="none" w:sz="0" w:space="0" w:color="auto"/>
      </w:divBdr>
    </w:div>
    <w:div w:id="192497407">
      <w:bodyDiv w:val="1"/>
      <w:marLeft w:val="0"/>
      <w:marRight w:val="0"/>
      <w:marTop w:val="0"/>
      <w:marBottom w:val="0"/>
      <w:divBdr>
        <w:top w:val="none" w:sz="0" w:space="0" w:color="auto"/>
        <w:left w:val="none" w:sz="0" w:space="0" w:color="auto"/>
        <w:bottom w:val="none" w:sz="0" w:space="0" w:color="auto"/>
        <w:right w:val="none" w:sz="0" w:space="0" w:color="auto"/>
      </w:divBdr>
    </w:div>
    <w:div w:id="251620855">
      <w:bodyDiv w:val="1"/>
      <w:marLeft w:val="0"/>
      <w:marRight w:val="0"/>
      <w:marTop w:val="0"/>
      <w:marBottom w:val="0"/>
      <w:divBdr>
        <w:top w:val="none" w:sz="0" w:space="0" w:color="auto"/>
        <w:left w:val="none" w:sz="0" w:space="0" w:color="auto"/>
        <w:bottom w:val="none" w:sz="0" w:space="0" w:color="auto"/>
        <w:right w:val="none" w:sz="0" w:space="0" w:color="auto"/>
      </w:divBdr>
    </w:div>
    <w:div w:id="290331493">
      <w:bodyDiv w:val="1"/>
      <w:marLeft w:val="0"/>
      <w:marRight w:val="0"/>
      <w:marTop w:val="0"/>
      <w:marBottom w:val="0"/>
      <w:divBdr>
        <w:top w:val="none" w:sz="0" w:space="0" w:color="auto"/>
        <w:left w:val="none" w:sz="0" w:space="0" w:color="auto"/>
        <w:bottom w:val="none" w:sz="0" w:space="0" w:color="auto"/>
        <w:right w:val="none" w:sz="0" w:space="0" w:color="auto"/>
      </w:divBdr>
    </w:div>
    <w:div w:id="344476338">
      <w:bodyDiv w:val="1"/>
      <w:marLeft w:val="0"/>
      <w:marRight w:val="0"/>
      <w:marTop w:val="0"/>
      <w:marBottom w:val="0"/>
      <w:divBdr>
        <w:top w:val="none" w:sz="0" w:space="0" w:color="auto"/>
        <w:left w:val="none" w:sz="0" w:space="0" w:color="auto"/>
        <w:bottom w:val="none" w:sz="0" w:space="0" w:color="auto"/>
        <w:right w:val="none" w:sz="0" w:space="0" w:color="auto"/>
      </w:divBdr>
    </w:div>
    <w:div w:id="583497061">
      <w:bodyDiv w:val="1"/>
      <w:marLeft w:val="0"/>
      <w:marRight w:val="0"/>
      <w:marTop w:val="0"/>
      <w:marBottom w:val="0"/>
      <w:divBdr>
        <w:top w:val="none" w:sz="0" w:space="0" w:color="auto"/>
        <w:left w:val="none" w:sz="0" w:space="0" w:color="auto"/>
        <w:bottom w:val="none" w:sz="0" w:space="0" w:color="auto"/>
        <w:right w:val="none" w:sz="0" w:space="0" w:color="auto"/>
      </w:divBdr>
    </w:div>
    <w:div w:id="589774660">
      <w:bodyDiv w:val="1"/>
      <w:marLeft w:val="0"/>
      <w:marRight w:val="0"/>
      <w:marTop w:val="0"/>
      <w:marBottom w:val="0"/>
      <w:divBdr>
        <w:top w:val="none" w:sz="0" w:space="0" w:color="auto"/>
        <w:left w:val="none" w:sz="0" w:space="0" w:color="auto"/>
        <w:bottom w:val="none" w:sz="0" w:space="0" w:color="auto"/>
        <w:right w:val="none" w:sz="0" w:space="0" w:color="auto"/>
      </w:divBdr>
    </w:div>
    <w:div w:id="624847736">
      <w:bodyDiv w:val="1"/>
      <w:marLeft w:val="0"/>
      <w:marRight w:val="0"/>
      <w:marTop w:val="0"/>
      <w:marBottom w:val="0"/>
      <w:divBdr>
        <w:top w:val="none" w:sz="0" w:space="0" w:color="auto"/>
        <w:left w:val="none" w:sz="0" w:space="0" w:color="auto"/>
        <w:bottom w:val="none" w:sz="0" w:space="0" w:color="auto"/>
        <w:right w:val="none" w:sz="0" w:space="0" w:color="auto"/>
      </w:divBdr>
    </w:div>
    <w:div w:id="647902807">
      <w:bodyDiv w:val="1"/>
      <w:marLeft w:val="0"/>
      <w:marRight w:val="0"/>
      <w:marTop w:val="0"/>
      <w:marBottom w:val="0"/>
      <w:divBdr>
        <w:top w:val="none" w:sz="0" w:space="0" w:color="auto"/>
        <w:left w:val="none" w:sz="0" w:space="0" w:color="auto"/>
        <w:bottom w:val="none" w:sz="0" w:space="0" w:color="auto"/>
        <w:right w:val="none" w:sz="0" w:space="0" w:color="auto"/>
      </w:divBdr>
    </w:div>
    <w:div w:id="654382721">
      <w:bodyDiv w:val="1"/>
      <w:marLeft w:val="0"/>
      <w:marRight w:val="0"/>
      <w:marTop w:val="0"/>
      <w:marBottom w:val="0"/>
      <w:divBdr>
        <w:top w:val="none" w:sz="0" w:space="0" w:color="auto"/>
        <w:left w:val="none" w:sz="0" w:space="0" w:color="auto"/>
        <w:bottom w:val="none" w:sz="0" w:space="0" w:color="auto"/>
        <w:right w:val="none" w:sz="0" w:space="0" w:color="auto"/>
      </w:divBdr>
    </w:div>
    <w:div w:id="797992777">
      <w:bodyDiv w:val="1"/>
      <w:marLeft w:val="0"/>
      <w:marRight w:val="0"/>
      <w:marTop w:val="0"/>
      <w:marBottom w:val="0"/>
      <w:divBdr>
        <w:top w:val="none" w:sz="0" w:space="0" w:color="auto"/>
        <w:left w:val="none" w:sz="0" w:space="0" w:color="auto"/>
        <w:bottom w:val="none" w:sz="0" w:space="0" w:color="auto"/>
        <w:right w:val="none" w:sz="0" w:space="0" w:color="auto"/>
      </w:divBdr>
    </w:div>
    <w:div w:id="849609423">
      <w:bodyDiv w:val="1"/>
      <w:marLeft w:val="0"/>
      <w:marRight w:val="0"/>
      <w:marTop w:val="0"/>
      <w:marBottom w:val="0"/>
      <w:divBdr>
        <w:top w:val="none" w:sz="0" w:space="0" w:color="auto"/>
        <w:left w:val="none" w:sz="0" w:space="0" w:color="auto"/>
        <w:bottom w:val="none" w:sz="0" w:space="0" w:color="auto"/>
        <w:right w:val="none" w:sz="0" w:space="0" w:color="auto"/>
      </w:divBdr>
    </w:div>
    <w:div w:id="859049313">
      <w:bodyDiv w:val="1"/>
      <w:marLeft w:val="0"/>
      <w:marRight w:val="0"/>
      <w:marTop w:val="0"/>
      <w:marBottom w:val="0"/>
      <w:divBdr>
        <w:top w:val="none" w:sz="0" w:space="0" w:color="auto"/>
        <w:left w:val="none" w:sz="0" w:space="0" w:color="auto"/>
        <w:bottom w:val="none" w:sz="0" w:space="0" w:color="auto"/>
        <w:right w:val="none" w:sz="0" w:space="0" w:color="auto"/>
      </w:divBdr>
    </w:div>
    <w:div w:id="952444441">
      <w:bodyDiv w:val="1"/>
      <w:marLeft w:val="0"/>
      <w:marRight w:val="0"/>
      <w:marTop w:val="0"/>
      <w:marBottom w:val="0"/>
      <w:divBdr>
        <w:top w:val="none" w:sz="0" w:space="0" w:color="auto"/>
        <w:left w:val="none" w:sz="0" w:space="0" w:color="auto"/>
        <w:bottom w:val="none" w:sz="0" w:space="0" w:color="auto"/>
        <w:right w:val="none" w:sz="0" w:space="0" w:color="auto"/>
      </w:divBdr>
    </w:div>
    <w:div w:id="1100835825">
      <w:bodyDiv w:val="1"/>
      <w:marLeft w:val="0"/>
      <w:marRight w:val="0"/>
      <w:marTop w:val="0"/>
      <w:marBottom w:val="0"/>
      <w:divBdr>
        <w:top w:val="none" w:sz="0" w:space="0" w:color="auto"/>
        <w:left w:val="none" w:sz="0" w:space="0" w:color="auto"/>
        <w:bottom w:val="none" w:sz="0" w:space="0" w:color="auto"/>
        <w:right w:val="none" w:sz="0" w:space="0" w:color="auto"/>
      </w:divBdr>
    </w:div>
    <w:div w:id="1191726902">
      <w:bodyDiv w:val="1"/>
      <w:marLeft w:val="0"/>
      <w:marRight w:val="0"/>
      <w:marTop w:val="0"/>
      <w:marBottom w:val="0"/>
      <w:divBdr>
        <w:top w:val="none" w:sz="0" w:space="0" w:color="auto"/>
        <w:left w:val="none" w:sz="0" w:space="0" w:color="auto"/>
        <w:bottom w:val="none" w:sz="0" w:space="0" w:color="auto"/>
        <w:right w:val="none" w:sz="0" w:space="0" w:color="auto"/>
      </w:divBdr>
    </w:div>
    <w:div w:id="1198161158">
      <w:bodyDiv w:val="1"/>
      <w:marLeft w:val="0"/>
      <w:marRight w:val="0"/>
      <w:marTop w:val="0"/>
      <w:marBottom w:val="0"/>
      <w:divBdr>
        <w:top w:val="none" w:sz="0" w:space="0" w:color="auto"/>
        <w:left w:val="none" w:sz="0" w:space="0" w:color="auto"/>
        <w:bottom w:val="none" w:sz="0" w:space="0" w:color="auto"/>
        <w:right w:val="none" w:sz="0" w:space="0" w:color="auto"/>
      </w:divBdr>
    </w:div>
    <w:div w:id="1377319900">
      <w:bodyDiv w:val="1"/>
      <w:marLeft w:val="0"/>
      <w:marRight w:val="0"/>
      <w:marTop w:val="0"/>
      <w:marBottom w:val="0"/>
      <w:divBdr>
        <w:top w:val="none" w:sz="0" w:space="0" w:color="auto"/>
        <w:left w:val="none" w:sz="0" w:space="0" w:color="auto"/>
        <w:bottom w:val="none" w:sz="0" w:space="0" w:color="auto"/>
        <w:right w:val="none" w:sz="0" w:space="0" w:color="auto"/>
      </w:divBdr>
    </w:div>
    <w:div w:id="1421562156">
      <w:bodyDiv w:val="1"/>
      <w:marLeft w:val="0"/>
      <w:marRight w:val="0"/>
      <w:marTop w:val="0"/>
      <w:marBottom w:val="0"/>
      <w:divBdr>
        <w:top w:val="none" w:sz="0" w:space="0" w:color="auto"/>
        <w:left w:val="none" w:sz="0" w:space="0" w:color="auto"/>
        <w:bottom w:val="none" w:sz="0" w:space="0" w:color="auto"/>
        <w:right w:val="none" w:sz="0" w:space="0" w:color="auto"/>
      </w:divBdr>
    </w:div>
    <w:div w:id="1452944327">
      <w:bodyDiv w:val="1"/>
      <w:marLeft w:val="0"/>
      <w:marRight w:val="0"/>
      <w:marTop w:val="0"/>
      <w:marBottom w:val="0"/>
      <w:divBdr>
        <w:top w:val="none" w:sz="0" w:space="0" w:color="auto"/>
        <w:left w:val="none" w:sz="0" w:space="0" w:color="auto"/>
        <w:bottom w:val="none" w:sz="0" w:space="0" w:color="auto"/>
        <w:right w:val="none" w:sz="0" w:space="0" w:color="auto"/>
      </w:divBdr>
    </w:div>
    <w:div w:id="1582327980">
      <w:bodyDiv w:val="1"/>
      <w:marLeft w:val="0"/>
      <w:marRight w:val="0"/>
      <w:marTop w:val="0"/>
      <w:marBottom w:val="0"/>
      <w:divBdr>
        <w:top w:val="none" w:sz="0" w:space="0" w:color="auto"/>
        <w:left w:val="none" w:sz="0" w:space="0" w:color="auto"/>
        <w:bottom w:val="none" w:sz="0" w:space="0" w:color="auto"/>
        <w:right w:val="none" w:sz="0" w:space="0" w:color="auto"/>
      </w:divBdr>
    </w:div>
    <w:div w:id="1608851639">
      <w:bodyDiv w:val="1"/>
      <w:marLeft w:val="0"/>
      <w:marRight w:val="0"/>
      <w:marTop w:val="0"/>
      <w:marBottom w:val="0"/>
      <w:divBdr>
        <w:top w:val="none" w:sz="0" w:space="0" w:color="auto"/>
        <w:left w:val="none" w:sz="0" w:space="0" w:color="auto"/>
        <w:bottom w:val="none" w:sz="0" w:space="0" w:color="auto"/>
        <w:right w:val="none" w:sz="0" w:space="0" w:color="auto"/>
      </w:divBdr>
    </w:div>
    <w:div w:id="1672026299">
      <w:bodyDiv w:val="1"/>
      <w:marLeft w:val="0"/>
      <w:marRight w:val="0"/>
      <w:marTop w:val="0"/>
      <w:marBottom w:val="0"/>
      <w:divBdr>
        <w:top w:val="none" w:sz="0" w:space="0" w:color="auto"/>
        <w:left w:val="none" w:sz="0" w:space="0" w:color="auto"/>
        <w:bottom w:val="none" w:sz="0" w:space="0" w:color="auto"/>
        <w:right w:val="none" w:sz="0" w:space="0" w:color="auto"/>
      </w:divBdr>
    </w:div>
    <w:div w:id="1698577721">
      <w:bodyDiv w:val="1"/>
      <w:marLeft w:val="0"/>
      <w:marRight w:val="0"/>
      <w:marTop w:val="0"/>
      <w:marBottom w:val="0"/>
      <w:divBdr>
        <w:top w:val="none" w:sz="0" w:space="0" w:color="auto"/>
        <w:left w:val="none" w:sz="0" w:space="0" w:color="auto"/>
        <w:bottom w:val="none" w:sz="0" w:space="0" w:color="auto"/>
        <w:right w:val="none" w:sz="0" w:space="0" w:color="auto"/>
      </w:divBdr>
    </w:div>
    <w:div w:id="1977904479">
      <w:bodyDiv w:val="1"/>
      <w:marLeft w:val="0"/>
      <w:marRight w:val="0"/>
      <w:marTop w:val="0"/>
      <w:marBottom w:val="0"/>
      <w:divBdr>
        <w:top w:val="none" w:sz="0" w:space="0" w:color="auto"/>
        <w:left w:val="none" w:sz="0" w:space="0" w:color="auto"/>
        <w:bottom w:val="none" w:sz="0" w:space="0" w:color="auto"/>
        <w:right w:val="none" w:sz="0" w:space="0" w:color="auto"/>
      </w:divBdr>
    </w:div>
    <w:div w:id="2000498102">
      <w:bodyDiv w:val="1"/>
      <w:marLeft w:val="0"/>
      <w:marRight w:val="0"/>
      <w:marTop w:val="0"/>
      <w:marBottom w:val="0"/>
      <w:divBdr>
        <w:top w:val="none" w:sz="0" w:space="0" w:color="auto"/>
        <w:left w:val="none" w:sz="0" w:space="0" w:color="auto"/>
        <w:bottom w:val="none" w:sz="0" w:space="0" w:color="auto"/>
        <w:right w:val="none" w:sz="0" w:space="0" w:color="auto"/>
      </w:divBdr>
    </w:div>
    <w:div w:id="2134015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pa.leggiditalia.i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normattiva.it/uri-res/N2Ls?urn:nir:stato:decreto-legge:2013-08-31;101!vig="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t.wikipedia.org/wiki/Legge_Merloni"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pa.leggiditalia.it/"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anticorruzione.it/portal/public/classic/Comunicazione/News/_news?id=7c9e16c10a7780421764d89dcec21c90" TargetMode="External"/><Relationship Id="rId1" Type="http://schemas.openxmlformats.org/officeDocument/2006/relationships/hyperlink" Target="http://www.italiappalti.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68fdcb2a-be36-46be-a50c-86f003d2bdd4"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B7D20FC37983404C86A8E5FC8682E54A" ma:contentTypeVersion="10" ma:contentTypeDescription="Creare un nuovo documento." ma:contentTypeScope="" ma:versionID="87b461d75cfef77e5655c99a2cf1425d">
  <xsd:schema xmlns:xsd="http://www.w3.org/2001/XMLSchema" xmlns:xs="http://www.w3.org/2001/XMLSchema" xmlns:p="http://schemas.microsoft.com/office/2006/metadata/properties" xmlns:ns3="68fdcb2a-be36-46be-a50c-86f003d2bdd4" xmlns:ns4="1401a982-f0e0-4340-a08a-ce22b1034548" targetNamespace="http://schemas.microsoft.com/office/2006/metadata/properties" ma:root="true" ma:fieldsID="288e3e609b20ff47aa78c49803b8285b" ns3:_="" ns4:_="">
    <xsd:import namespace="68fdcb2a-be36-46be-a50c-86f003d2bdd4"/>
    <xsd:import namespace="1401a982-f0e0-4340-a08a-ce22b1034548"/>
    <xsd:element name="properties">
      <xsd:complexType>
        <xsd:sequence>
          <xsd:element name="documentManagement">
            <xsd:complexType>
              <xsd:all>
                <xsd:element ref="ns3:_activity" minOccurs="0"/>
                <xsd:element ref="ns4:SharedWithUsers" minOccurs="0"/>
                <xsd:element ref="ns4:SharedWithDetails" minOccurs="0"/>
                <xsd:element ref="ns4:SharingHintHash"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fdcb2a-be36-46be-a50c-86f003d2bdd4" elementFormDefault="qualified">
    <xsd:import namespace="http://schemas.microsoft.com/office/2006/documentManagement/types"/>
    <xsd:import namespace="http://schemas.microsoft.com/office/infopath/2007/PartnerControls"/>
    <xsd:element name="_activity" ma:index="8" nillable="true" ma:displayName="_activity" ma:hidden="true" ma:internalName="_activity">
      <xsd:simpleType>
        <xsd:restriction base="dms:Not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01a982-f0e0-4340-a08a-ce22b1034548" elementFormDefault="qualified">
    <xsd:import namespace="http://schemas.microsoft.com/office/2006/documentManagement/types"/>
    <xsd:import namespace="http://schemas.microsoft.com/office/infopath/2007/PartnerControls"/>
    <xsd:element name="SharedWithUsers" ma:index="9"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Condiviso con dettagli" ma:internalName="SharedWithDetails" ma:readOnly="true">
      <xsd:simpleType>
        <xsd:restriction base="dms:Note">
          <xsd:maxLength value="255"/>
        </xsd:restriction>
      </xsd:simpleType>
    </xsd:element>
    <xsd:element name="SharingHintHash" ma:index="11"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71DC3FF-C724-4476-9755-1637D95B7270}">
  <ds:schemaRefs>
    <ds:schemaRef ds:uri="http://schemas.openxmlformats.org/officeDocument/2006/bibliography"/>
  </ds:schemaRefs>
</ds:datastoreItem>
</file>

<file path=customXml/itemProps2.xml><?xml version="1.0" encoding="utf-8"?>
<ds:datastoreItem xmlns:ds="http://schemas.openxmlformats.org/officeDocument/2006/customXml" ds:itemID="{61C62ABC-9B50-4747-84BF-8CE78F3C4F5E}">
  <ds:schemaRefs>
    <ds:schemaRef ds:uri="http://schemas.microsoft.com/sharepoint/v3/contenttype/forms"/>
  </ds:schemaRefs>
</ds:datastoreItem>
</file>

<file path=customXml/itemProps3.xml><?xml version="1.0" encoding="utf-8"?>
<ds:datastoreItem xmlns:ds="http://schemas.openxmlformats.org/officeDocument/2006/customXml" ds:itemID="{E25A2D83-B83A-4B9D-B051-02FF50073262}">
  <ds:schemaRefs>
    <ds:schemaRef ds:uri="http://schemas.microsoft.com/office/2006/metadata/properties"/>
    <ds:schemaRef ds:uri="http://schemas.microsoft.com/office/infopath/2007/PartnerControls"/>
    <ds:schemaRef ds:uri="68fdcb2a-be36-46be-a50c-86f003d2bdd4"/>
  </ds:schemaRefs>
</ds:datastoreItem>
</file>

<file path=customXml/itemProps4.xml><?xml version="1.0" encoding="utf-8"?>
<ds:datastoreItem xmlns:ds="http://schemas.openxmlformats.org/officeDocument/2006/customXml" ds:itemID="{5A2DF8CD-2E56-4DC9-818C-06896C9682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fdcb2a-be36-46be-a50c-86f003d2bdd4"/>
    <ds:schemaRef ds:uri="1401a982-f0e0-4340-a08a-ce22b103454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7296</Words>
  <Characters>41591</Characters>
  <Application>Microsoft Office Word</Application>
  <DocSecurity>0</DocSecurity>
  <Lines>346</Lines>
  <Paragraphs>97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48790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Veronica  Varone</dc:creator>
  <cp:keywords/>
  <dc:description/>
  <cp:lastModifiedBy>massimo nunziata</cp:lastModifiedBy>
  <cp:revision>3</cp:revision>
  <dcterms:created xsi:type="dcterms:W3CDTF">2023-05-25T18:19:00Z</dcterms:created>
  <dcterms:modified xsi:type="dcterms:W3CDTF">2023-05-26T06:17:00Z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0x010100B7D20FC37983404C86A8E5FC8682E54A</vt:lpwstr>
  </property>
</Properties>
</file>