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EE2" w:rsidRPr="006453D9" w:rsidRDefault="00A73EE2" w:rsidP="00A73EE2">
      <w:pPr>
        <w:pStyle w:val="MDPI11articletype"/>
      </w:pPr>
      <w:bookmarkStart w:id="0" w:name="_GoBack"/>
      <w:bookmarkEnd w:id="0"/>
      <w:r w:rsidRPr="006453D9">
        <w:t>Article</w:t>
      </w:r>
    </w:p>
    <w:p w:rsidR="00A73EE2" w:rsidRPr="003B1AF1" w:rsidRDefault="00514F01" w:rsidP="00A73EE2">
      <w:pPr>
        <w:pStyle w:val="MDPI12title"/>
      </w:pPr>
      <w:r w:rsidRPr="00514F01">
        <w:t xml:space="preserve">Sensitive Detection of Industrial Pollutants </w:t>
      </w:r>
      <w:r>
        <w:t>U</w:t>
      </w:r>
      <w:r w:rsidRPr="00514F01">
        <w:t xml:space="preserve">sing </w:t>
      </w:r>
      <w:r>
        <w:t>M</w:t>
      </w:r>
      <w:r w:rsidRPr="00514F01">
        <w:t xml:space="preserve">odified </w:t>
      </w:r>
      <w:r>
        <w:t>E</w:t>
      </w:r>
      <w:r w:rsidRPr="00514F01">
        <w:t>lectrochemical Platforms</w:t>
      </w:r>
    </w:p>
    <w:p w:rsidR="00AA7C53" w:rsidRPr="00514F01" w:rsidRDefault="00514F01" w:rsidP="00A73EE2">
      <w:pPr>
        <w:pStyle w:val="MDPI13authornames"/>
        <w:rPr>
          <w:lang w:val="it-IT"/>
        </w:rPr>
      </w:pPr>
      <w:r w:rsidRPr="00514F01">
        <w:rPr>
          <w:lang w:val="it-IT"/>
        </w:rPr>
        <w:t>Alessio Di Tinno</w:t>
      </w:r>
      <w:r w:rsidRPr="00514F01">
        <w:rPr>
          <w:vertAlign w:val="superscript"/>
          <w:lang w:val="it-IT"/>
        </w:rPr>
        <w:t>1,</w:t>
      </w:r>
      <w:r w:rsidR="0017623A" w:rsidRPr="0017623A">
        <w:rPr>
          <w:vertAlign w:val="superscript"/>
          <w:lang w:val="it-IT"/>
        </w:rPr>
        <w:t xml:space="preserve"> </w:t>
      </w:r>
      <w:r w:rsidR="0017623A">
        <w:rPr>
          <w:vertAlign w:val="superscript"/>
          <w:lang w:val="it-IT"/>
        </w:rPr>
        <w:t>+</w:t>
      </w:r>
      <w:r w:rsidRPr="00514F01">
        <w:rPr>
          <w:lang w:val="it-IT"/>
        </w:rPr>
        <w:t>, Rocco Cancelliere</w:t>
      </w:r>
      <w:r w:rsidRPr="00514F01">
        <w:rPr>
          <w:vertAlign w:val="superscript"/>
          <w:lang w:val="it-IT"/>
        </w:rPr>
        <w:t>1,</w:t>
      </w:r>
      <w:r w:rsidR="0017623A">
        <w:rPr>
          <w:vertAlign w:val="superscript"/>
          <w:lang w:val="it-IT"/>
        </w:rPr>
        <w:t>+</w:t>
      </w:r>
      <w:r w:rsidRPr="00514F01">
        <w:rPr>
          <w:lang w:val="it-IT"/>
        </w:rPr>
        <w:t>, Pietro Mantegazza</w:t>
      </w:r>
      <w:r w:rsidRPr="00514F01">
        <w:rPr>
          <w:vertAlign w:val="superscript"/>
          <w:lang w:val="it-IT"/>
        </w:rPr>
        <w:t>1</w:t>
      </w:r>
      <w:r w:rsidRPr="00514F01">
        <w:rPr>
          <w:lang w:val="it-IT"/>
        </w:rPr>
        <w:t>, Antonino Cataldo</w:t>
      </w:r>
      <w:r w:rsidRPr="00514F01">
        <w:rPr>
          <w:vertAlign w:val="superscript"/>
          <w:lang w:val="it-IT"/>
        </w:rPr>
        <w:t>2,3</w:t>
      </w:r>
      <w:r w:rsidRPr="00514F01">
        <w:rPr>
          <w:lang w:val="it-IT"/>
        </w:rPr>
        <w:t>, Alesia Paddubskaya</w:t>
      </w:r>
      <w:r w:rsidRPr="00514F01">
        <w:rPr>
          <w:vertAlign w:val="superscript"/>
          <w:lang w:val="it-IT"/>
        </w:rPr>
        <w:t>4</w:t>
      </w:r>
      <w:r w:rsidRPr="00514F01">
        <w:rPr>
          <w:lang w:val="it-IT"/>
        </w:rPr>
        <w:t>, Luigi Fe</w:t>
      </w:r>
      <w:r w:rsidRPr="00514F01">
        <w:rPr>
          <w:lang w:val="it-IT"/>
        </w:rPr>
        <w:t>r</w:t>
      </w:r>
      <w:r w:rsidRPr="00514F01">
        <w:rPr>
          <w:lang w:val="it-IT"/>
        </w:rPr>
        <w:t>rigno</w:t>
      </w:r>
      <w:r w:rsidRPr="00514F01">
        <w:rPr>
          <w:vertAlign w:val="superscript"/>
          <w:lang w:val="it-IT"/>
        </w:rPr>
        <w:t>5</w:t>
      </w:r>
      <w:r w:rsidRPr="00514F01">
        <w:rPr>
          <w:lang w:val="it-IT"/>
        </w:rPr>
        <w:t>, Polina Kuzhir</w:t>
      </w:r>
      <w:r w:rsidRPr="00514F01">
        <w:rPr>
          <w:vertAlign w:val="superscript"/>
          <w:lang w:val="it-IT"/>
        </w:rPr>
        <w:t>6</w:t>
      </w:r>
      <w:r w:rsidRPr="00514F01">
        <w:rPr>
          <w:lang w:val="it-IT"/>
        </w:rPr>
        <w:t>, Sergey Maksimenko</w:t>
      </w:r>
      <w:r w:rsidRPr="00514F01">
        <w:rPr>
          <w:vertAlign w:val="superscript"/>
          <w:lang w:val="it-IT"/>
        </w:rPr>
        <w:t>4</w:t>
      </w:r>
      <w:r w:rsidRPr="00514F01">
        <w:rPr>
          <w:lang w:val="it-IT"/>
        </w:rPr>
        <w:t>, Mikhail Shuba</w:t>
      </w:r>
      <w:r w:rsidRPr="00514F01">
        <w:rPr>
          <w:vertAlign w:val="superscript"/>
          <w:lang w:val="it-IT"/>
        </w:rPr>
        <w:t>4</w:t>
      </w:r>
      <w:r w:rsidRPr="00514F01">
        <w:rPr>
          <w:lang w:val="it-IT"/>
        </w:rPr>
        <w:t>, Antonio Maffucci</w:t>
      </w:r>
      <w:r w:rsidRPr="00514F01">
        <w:rPr>
          <w:vertAlign w:val="superscript"/>
          <w:lang w:val="it-IT"/>
        </w:rPr>
        <w:t>3,5</w:t>
      </w:r>
      <w:r w:rsidRPr="00514F01">
        <w:rPr>
          <w:lang w:val="it-IT"/>
        </w:rPr>
        <w:t>, Stefano Bellucci</w:t>
      </w:r>
      <w:r w:rsidRPr="00514F01">
        <w:rPr>
          <w:vertAlign w:val="superscript"/>
          <w:lang w:val="it-IT"/>
        </w:rPr>
        <w:t>2</w:t>
      </w:r>
      <w:r w:rsidRPr="00514F01">
        <w:rPr>
          <w:lang w:val="it-IT"/>
        </w:rPr>
        <w:t>, and Laura Micheli</w:t>
      </w:r>
      <w:r w:rsidRPr="00514F01">
        <w:rPr>
          <w:vertAlign w:val="superscript"/>
          <w:lang w:val="it-IT"/>
        </w:rPr>
        <w:t>1,*</w:t>
      </w:r>
    </w:p>
    <w:tbl>
      <w:tblPr>
        <w:tblpPr w:leftFromText="198" w:rightFromText="198" w:vertAnchor="page" w:horzAnchor="margin" w:tblpY="9954"/>
        <w:tblW w:w="2410" w:type="dxa"/>
        <w:tblLayout w:type="fixed"/>
        <w:tblCellMar>
          <w:left w:w="0" w:type="dxa"/>
          <w:right w:w="0" w:type="dxa"/>
        </w:tblCellMar>
        <w:tblLook w:val="04A0" w:firstRow="1" w:lastRow="0" w:firstColumn="1" w:lastColumn="0" w:noHBand="0" w:noVBand="1"/>
      </w:tblPr>
      <w:tblGrid>
        <w:gridCol w:w="2410"/>
      </w:tblGrid>
      <w:tr w:rsidR="00AA7C53" w:rsidRPr="001A7DD8" w:rsidTr="005F1D2E">
        <w:tc>
          <w:tcPr>
            <w:tcW w:w="2410" w:type="dxa"/>
            <w:shd w:val="clear" w:color="auto" w:fill="auto"/>
          </w:tcPr>
          <w:p w:rsidR="00AA7C53" w:rsidRPr="0082460C" w:rsidRDefault="00AA7C53" w:rsidP="005F1D2E">
            <w:pPr>
              <w:pStyle w:val="MDPI61Citation"/>
              <w:spacing w:after="120" w:line="240" w:lineRule="exact"/>
            </w:pPr>
            <w:r w:rsidRPr="0082460C">
              <w:rPr>
                <w:b/>
              </w:rPr>
              <w:t>Citation:</w:t>
            </w:r>
            <w:r w:rsidRPr="001A7DD8">
              <w:t xml:space="preserve"> </w:t>
            </w:r>
            <w:proofErr w:type="spellStart"/>
            <w:r>
              <w:t>Lastname</w:t>
            </w:r>
            <w:proofErr w:type="spellEnd"/>
            <w:r>
              <w:t xml:space="preserve">, F.; </w:t>
            </w:r>
            <w:proofErr w:type="spellStart"/>
            <w:r>
              <w:t>Lastname</w:t>
            </w:r>
            <w:proofErr w:type="spellEnd"/>
            <w:r>
              <w:t xml:space="preserve">, F.; </w:t>
            </w:r>
            <w:proofErr w:type="spellStart"/>
            <w:r>
              <w:t>Lastname</w:t>
            </w:r>
            <w:proofErr w:type="spellEnd"/>
            <w:r>
              <w:t xml:space="preserve">, F. Title. </w:t>
            </w:r>
            <w:r>
              <w:rPr>
                <w:i/>
              </w:rPr>
              <w:t xml:space="preserve">Nanomaterials </w:t>
            </w:r>
            <w:r>
              <w:rPr>
                <w:b/>
              </w:rPr>
              <w:t>2022</w:t>
            </w:r>
            <w:r>
              <w:t>,</w:t>
            </w:r>
            <w:r>
              <w:rPr>
                <w:i/>
              </w:rPr>
              <w:t xml:space="preserve"> 12</w:t>
            </w:r>
            <w:r>
              <w:t>, x. https://doi.org/10.3390/xxxxx</w:t>
            </w:r>
          </w:p>
          <w:p w:rsidR="00AA7C53" w:rsidRDefault="00AA7C53" w:rsidP="005F1D2E">
            <w:pPr>
              <w:pStyle w:val="MDPI15academiceditor"/>
              <w:spacing w:after="120"/>
            </w:pPr>
            <w:r>
              <w:t xml:space="preserve">Academic Editor: </w:t>
            </w:r>
            <w:proofErr w:type="spellStart"/>
            <w:r>
              <w:t>Firstname</w:t>
            </w:r>
            <w:proofErr w:type="spellEnd"/>
            <w:r>
              <w:t xml:space="preserve"> </w:t>
            </w:r>
            <w:proofErr w:type="spellStart"/>
            <w:r>
              <w:t>Las</w:t>
            </w:r>
            <w:r>
              <w:t>t</w:t>
            </w:r>
            <w:r>
              <w:t>name</w:t>
            </w:r>
            <w:proofErr w:type="spellEnd"/>
          </w:p>
          <w:p w:rsidR="00AA7C53" w:rsidRPr="002A6C17" w:rsidRDefault="00AA7C53" w:rsidP="005F1D2E">
            <w:pPr>
              <w:pStyle w:val="MDPI14history"/>
              <w:spacing w:before="120"/>
            </w:pPr>
            <w:r w:rsidRPr="002A6C17">
              <w:t>Received: date</w:t>
            </w:r>
          </w:p>
          <w:p w:rsidR="00AA7C53" w:rsidRPr="002A6C17" w:rsidRDefault="00AA7C53" w:rsidP="005F1D2E">
            <w:pPr>
              <w:pStyle w:val="MDPI14history"/>
            </w:pPr>
            <w:r w:rsidRPr="002A6C17">
              <w:t>Accepted: date</w:t>
            </w:r>
          </w:p>
          <w:p w:rsidR="00AA7C53" w:rsidRPr="002A6C17" w:rsidRDefault="00AA7C53" w:rsidP="005F1D2E">
            <w:pPr>
              <w:pStyle w:val="MDPI14history"/>
              <w:spacing w:after="120"/>
            </w:pPr>
            <w:r w:rsidRPr="002A6C17">
              <w:t>Published: date</w:t>
            </w:r>
          </w:p>
          <w:p w:rsidR="00AA7C53" w:rsidRPr="001A7DD8" w:rsidRDefault="00AA7C53" w:rsidP="005F1D2E">
            <w:pPr>
              <w:pStyle w:val="MDPI63Notes"/>
              <w:jc w:val="both"/>
            </w:pPr>
            <w:r w:rsidRPr="001A7DD8">
              <w:rPr>
                <w:b/>
              </w:rPr>
              <w:t>Publisher’s Note:</w:t>
            </w:r>
            <w:r w:rsidRPr="001A7DD8">
              <w:t xml:space="preserve"> MDPI stays ne</w:t>
            </w:r>
            <w:r w:rsidRPr="001A7DD8">
              <w:t>u</w:t>
            </w:r>
            <w:r w:rsidRPr="001A7DD8">
              <w:t>tral with regard to jurisdictional claims in published maps and inst</w:t>
            </w:r>
            <w:r w:rsidRPr="001A7DD8">
              <w:t>i</w:t>
            </w:r>
            <w:r w:rsidRPr="001A7DD8">
              <w:t>tutional affiliations.</w:t>
            </w:r>
          </w:p>
          <w:p w:rsidR="00AA7C53" w:rsidRPr="001A7DD8" w:rsidRDefault="00AA7C53" w:rsidP="005F1D2E">
            <w:pPr>
              <w:adjustRightInd w:val="0"/>
              <w:snapToGrid w:val="0"/>
              <w:spacing w:before="120" w:line="240" w:lineRule="atLeast"/>
              <w:ind w:right="113"/>
              <w:jc w:val="left"/>
              <w:rPr>
                <w:rFonts w:eastAsia="DengXian"/>
                <w:bCs/>
                <w:sz w:val="14"/>
                <w:szCs w:val="14"/>
                <w:lang w:bidi="en-US"/>
              </w:rPr>
            </w:pPr>
            <w:r w:rsidRPr="001A7DD8">
              <w:rPr>
                <w:rFonts w:eastAsia="DengXian"/>
                <w:lang w:val="it-IT" w:eastAsia="it-IT"/>
              </w:rPr>
              <w:drawing>
                <wp:inline distT="0" distB="0" distL="0" distR="0" wp14:anchorId="583FA244" wp14:editId="1C40F986">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rsidR="00AA7C53" w:rsidRPr="001A7DD8" w:rsidRDefault="00AA7C53" w:rsidP="005F1D2E">
            <w:pPr>
              <w:adjustRightInd w:val="0"/>
              <w:snapToGrid w:val="0"/>
              <w:spacing w:before="60" w:line="240" w:lineRule="atLeast"/>
              <w:ind w:right="113"/>
              <w:rPr>
                <w:rFonts w:eastAsia="DengXian"/>
                <w:bCs/>
                <w:sz w:val="14"/>
                <w:szCs w:val="14"/>
                <w:lang w:bidi="en-US"/>
              </w:rPr>
            </w:pPr>
            <w:r w:rsidRPr="001A7DD8">
              <w:rPr>
                <w:rFonts w:eastAsia="DengXian"/>
                <w:b/>
                <w:bCs/>
                <w:sz w:val="14"/>
                <w:szCs w:val="14"/>
                <w:lang w:bidi="en-US"/>
              </w:rPr>
              <w:t>Copyright:</w:t>
            </w:r>
            <w:r w:rsidRPr="001A7DD8">
              <w:rPr>
                <w:rFonts w:eastAsia="DengXian"/>
                <w:bCs/>
                <w:sz w:val="14"/>
                <w:szCs w:val="14"/>
                <w:lang w:bidi="en-US"/>
              </w:rPr>
              <w:t xml:space="preserve"> </w:t>
            </w:r>
            <w:r>
              <w:rPr>
                <w:rFonts w:eastAsia="DengXian"/>
                <w:bCs/>
                <w:sz w:val="14"/>
                <w:szCs w:val="14"/>
                <w:lang w:bidi="en-US"/>
              </w:rPr>
              <w:t>© 2022</w:t>
            </w:r>
            <w:r w:rsidRPr="001A7DD8">
              <w:rPr>
                <w:rFonts w:eastAsia="DengXian"/>
                <w:bCs/>
                <w:sz w:val="14"/>
                <w:szCs w:val="14"/>
                <w:lang w:bidi="en-US"/>
              </w:rPr>
              <w:t xml:space="preserve"> </w:t>
            </w:r>
            <w:r>
              <w:rPr>
                <w:rFonts w:eastAsia="DengXian"/>
                <w:bCs/>
                <w:sz w:val="14"/>
                <w:szCs w:val="14"/>
                <w:lang w:bidi="en-US"/>
              </w:rPr>
              <w:t xml:space="preserve">by the authors. Submitted for possible open access publication under the terms and conditions of the Creative Commons </w:t>
            </w:r>
            <w:r w:rsidRPr="001A7DD8">
              <w:rPr>
                <w:rFonts w:eastAsia="DengXian"/>
                <w:bCs/>
                <w:sz w:val="14"/>
                <w:szCs w:val="14"/>
                <w:lang w:bidi="en-US"/>
              </w:rPr>
              <w:t>Attribution (CC BY) license (</w:t>
            </w:r>
            <w:r>
              <w:rPr>
                <w:rFonts w:eastAsia="DengXian"/>
                <w:bCs/>
                <w:sz w:val="14"/>
                <w:szCs w:val="14"/>
                <w:lang w:bidi="en-US"/>
              </w:rPr>
              <w:t>https://</w:t>
            </w:r>
            <w:r w:rsidRPr="001A7DD8">
              <w:rPr>
                <w:rFonts w:eastAsia="DengXian"/>
                <w:bCs/>
                <w:sz w:val="14"/>
                <w:szCs w:val="14"/>
                <w:lang w:bidi="en-US"/>
              </w:rPr>
              <w:t>creativecommons.org/licenses/by/4.0/).</w:t>
            </w:r>
          </w:p>
        </w:tc>
      </w:tr>
    </w:tbl>
    <w:p w:rsidR="0017623A" w:rsidRDefault="00D94009" w:rsidP="00514F01">
      <w:pPr>
        <w:pStyle w:val="MDPI16affiliation"/>
      </w:pPr>
      <w:r w:rsidRPr="00D94009">
        <w:rPr>
          <w:vertAlign w:val="superscript"/>
        </w:rPr>
        <w:t>1</w:t>
      </w:r>
      <w:r w:rsidR="00A73EE2" w:rsidRPr="00D945EC">
        <w:tab/>
      </w:r>
      <w:r w:rsidR="00514F01" w:rsidRPr="00514F01">
        <w:t xml:space="preserve">Dept. of Chemical Science and Technologies, University of Rome “Tor </w:t>
      </w:r>
      <w:proofErr w:type="spellStart"/>
      <w:r w:rsidR="00514F01" w:rsidRPr="00514F01">
        <w:t>Vergata</w:t>
      </w:r>
      <w:proofErr w:type="spellEnd"/>
      <w:r w:rsidR="00514F01" w:rsidRPr="00514F01">
        <w:t>”, Rome, Italy</w:t>
      </w:r>
      <w:r w:rsidR="00A73EE2" w:rsidRPr="00D945EC">
        <w:t xml:space="preserve">; </w:t>
      </w:r>
      <w:hyperlink r:id="rId9" w:history="1">
        <w:r w:rsidR="0017623A" w:rsidRPr="00A92A13">
          <w:rPr>
            <w:rStyle w:val="Collegamentoipertestuale"/>
          </w:rPr>
          <w:t>ale</w:t>
        </w:r>
        <w:r w:rsidR="0017623A" w:rsidRPr="00A92A13">
          <w:rPr>
            <w:rStyle w:val="Collegamentoipertestuale"/>
          </w:rPr>
          <w:t>s</w:t>
        </w:r>
        <w:r w:rsidR="0017623A" w:rsidRPr="00A92A13">
          <w:rPr>
            <w:rStyle w:val="Collegamentoipertestuale"/>
          </w:rPr>
          <w:t>sio.ditinno@gmail.com</w:t>
        </w:r>
      </w:hyperlink>
      <w:r w:rsidR="0017623A">
        <w:t xml:space="preserve">, </w:t>
      </w:r>
      <w:hyperlink r:id="rId10" w:history="1">
        <w:r w:rsidR="0017623A" w:rsidRPr="00A92A13">
          <w:rPr>
            <w:rStyle w:val="Collegamentoipertestuale"/>
          </w:rPr>
          <w:t>roccocancelliere@gmail.com</w:t>
        </w:r>
      </w:hyperlink>
      <w:r w:rsidR="0017623A">
        <w:t xml:space="preserve"> , </w:t>
      </w:r>
      <w:hyperlink r:id="rId11" w:history="1">
        <w:r w:rsidR="0017623A" w:rsidRPr="00A92A13">
          <w:rPr>
            <w:rStyle w:val="Collegamentoipertestuale"/>
          </w:rPr>
          <w:t>mantegazza.pietro@gmail.com</w:t>
        </w:r>
      </w:hyperlink>
      <w:r w:rsidR="0017623A">
        <w:t>,</w:t>
      </w:r>
      <w:r w:rsidR="00210254">
        <w:t xml:space="preserve"> </w:t>
      </w:r>
      <w:hyperlink r:id="rId12" w:history="1">
        <w:r w:rsidR="00210254" w:rsidRPr="002049E4">
          <w:rPr>
            <w:rStyle w:val="Collegamentoipertestuale"/>
          </w:rPr>
          <w:t>laura.micheli@uniroma2.it</w:t>
        </w:r>
      </w:hyperlink>
      <w:r w:rsidR="00210254">
        <w:t xml:space="preserve"> </w:t>
      </w:r>
      <w:r w:rsidR="0017623A">
        <w:t xml:space="preserve">  </w:t>
      </w:r>
    </w:p>
    <w:p w:rsidR="00514F01" w:rsidRPr="00D945EC" w:rsidRDefault="00A73EE2" w:rsidP="00514F01">
      <w:pPr>
        <w:pStyle w:val="MDPI16affiliation"/>
      </w:pPr>
      <w:r w:rsidRPr="00D945EC">
        <w:rPr>
          <w:vertAlign w:val="superscript"/>
        </w:rPr>
        <w:t>2</w:t>
      </w:r>
      <w:r w:rsidRPr="00D945EC">
        <w:tab/>
      </w:r>
      <w:r w:rsidR="00514F01" w:rsidRPr="00514F01">
        <w:t xml:space="preserve">DISPREV Laboratory, </w:t>
      </w:r>
      <w:proofErr w:type="spellStart"/>
      <w:r w:rsidR="00514F01" w:rsidRPr="00514F01">
        <w:t>Casaccia</w:t>
      </w:r>
      <w:proofErr w:type="spellEnd"/>
      <w:r w:rsidR="00514F01" w:rsidRPr="00514F01">
        <w:t xml:space="preserve"> Research Center, ENEA, Rome, Italy</w:t>
      </w:r>
      <w:r w:rsidRPr="00D945EC">
        <w:t xml:space="preserve">; </w:t>
      </w:r>
      <w:hyperlink r:id="rId13" w:history="1">
        <w:r w:rsidR="00210254" w:rsidRPr="002049E4">
          <w:rPr>
            <w:rStyle w:val="Collegamentoipertestuale"/>
          </w:rPr>
          <w:t>Antonino.Cataldo@lnf.infn.it</w:t>
        </w:r>
      </w:hyperlink>
      <w:r w:rsidR="00210254">
        <w:t xml:space="preserve"> </w:t>
      </w:r>
    </w:p>
    <w:p w:rsidR="00514F01" w:rsidRPr="00D945EC" w:rsidRDefault="00514F01" w:rsidP="00DA20BE">
      <w:pPr>
        <w:pStyle w:val="MDPI16affiliation"/>
      </w:pPr>
      <w:r>
        <w:rPr>
          <w:vertAlign w:val="superscript"/>
        </w:rPr>
        <w:t>3</w:t>
      </w:r>
      <w:r w:rsidRPr="00D945EC">
        <w:tab/>
      </w:r>
      <w:r w:rsidRPr="00514F01">
        <w:t>INFN-LNF, National Institute of Nuclear Physics, Frascati National Laboratories, Frascati (RM), Italy</w:t>
      </w:r>
      <w:r w:rsidR="00DA20BE">
        <w:t>,</w:t>
      </w:r>
      <w:r w:rsidR="00210254">
        <w:t xml:space="preserve"> </w:t>
      </w:r>
      <w:hyperlink r:id="rId14" w:history="1">
        <w:r w:rsidR="00210254" w:rsidRPr="002049E4">
          <w:rPr>
            <w:rStyle w:val="Collegamentoipertestuale"/>
          </w:rPr>
          <w:t>stefano.bellucci@lnf.infn.it</w:t>
        </w:r>
      </w:hyperlink>
      <w:r w:rsidR="00210254">
        <w:t xml:space="preserve"> </w:t>
      </w:r>
    </w:p>
    <w:p w:rsidR="00514F01" w:rsidRPr="00D945EC" w:rsidRDefault="00514F01" w:rsidP="00514F01">
      <w:pPr>
        <w:pStyle w:val="MDPI16affiliation"/>
      </w:pPr>
      <w:r>
        <w:rPr>
          <w:vertAlign w:val="superscript"/>
        </w:rPr>
        <w:t>4</w:t>
      </w:r>
      <w:r w:rsidRPr="00D945EC">
        <w:tab/>
      </w:r>
      <w:r>
        <w:t xml:space="preserve">INP, </w:t>
      </w:r>
      <w:r w:rsidRPr="00514F01">
        <w:t>Institute for Nuclear Problems, Belarusian State University, Minsk, Belarus</w:t>
      </w:r>
      <w:r>
        <w:t>;</w:t>
      </w:r>
      <w:r w:rsidRPr="00514F01">
        <w:t xml:space="preserve"> </w:t>
      </w:r>
      <w:hyperlink r:id="rId15" w:history="1">
        <w:r w:rsidR="00210254" w:rsidRPr="002049E4">
          <w:rPr>
            <w:rStyle w:val="Collegamentoipertestuale"/>
          </w:rPr>
          <w:t>paddubskaya@gmail.com</w:t>
        </w:r>
      </w:hyperlink>
      <w:r w:rsidR="00210254">
        <w:t xml:space="preserve">; </w:t>
      </w:r>
      <w:hyperlink r:id="rId16" w:history="1">
        <w:r w:rsidR="00210254" w:rsidRPr="002049E4">
          <w:rPr>
            <w:rStyle w:val="Collegamentoipertestuale"/>
          </w:rPr>
          <w:t>sergey.maksimenko@gmail.com</w:t>
        </w:r>
      </w:hyperlink>
      <w:r w:rsidR="00210254">
        <w:t xml:space="preserve">; </w:t>
      </w:r>
      <w:hyperlink r:id="rId17" w:history="1">
        <w:r w:rsidR="00210254" w:rsidRPr="002049E4">
          <w:rPr>
            <w:rStyle w:val="Collegamentoipertestuale"/>
          </w:rPr>
          <w:t>mikhail.shuba@gmail.com</w:t>
        </w:r>
      </w:hyperlink>
      <w:r w:rsidR="00210254">
        <w:t xml:space="preserve">;   </w:t>
      </w:r>
    </w:p>
    <w:p w:rsidR="00514F01" w:rsidRPr="00D945EC" w:rsidRDefault="00514F01" w:rsidP="00514F01">
      <w:pPr>
        <w:pStyle w:val="MDPI16affiliation"/>
      </w:pPr>
      <w:r>
        <w:rPr>
          <w:vertAlign w:val="superscript"/>
        </w:rPr>
        <w:t>5</w:t>
      </w:r>
      <w:r w:rsidRPr="00D945EC">
        <w:tab/>
      </w:r>
      <w:r>
        <w:t xml:space="preserve">DIEI, </w:t>
      </w:r>
      <w:r w:rsidRPr="00514F01">
        <w:t xml:space="preserve">Dept. of Electrical and Information Engineering, University of </w:t>
      </w:r>
      <w:proofErr w:type="spellStart"/>
      <w:r w:rsidRPr="00514F01">
        <w:t>Cassino</w:t>
      </w:r>
      <w:proofErr w:type="spellEnd"/>
      <w:r w:rsidRPr="00514F01">
        <w:t xml:space="preserve"> and Southern Lazio, </w:t>
      </w:r>
      <w:proofErr w:type="spellStart"/>
      <w:r w:rsidRPr="00514F01">
        <w:t>Cassino</w:t>
      </w:r>
      <w:proofErr w:type="spellEnd"/>
      <w:r w:rsidRPr="00514F01">
        <w:t>, Italy</w:t>
      </w:r>
      <w:r>
        <w:t>;</w:t>
      </w:r>
      <w:r w:rsidR="00210254">
        <w:t xml:space="preserve"> </w:t>
      </w:r>
      <w:hyperlink r:id="rId18" w:history="1">
        <w:r w:rsidR="00210254" w:rsidRPr="002049E4">
          <w:rPr>
            <w:rStyle w:val="Collegamentoipertestuale"/>
          </w:rPr>
          <w:t>ferrigno@unicas.it</w:t>
        </w:r>
      </w:hyperlink>
      <w:r w:rsidR="00210254">
        <w:t xml:space="preserve">; </w:t>
      </w:r>
      <w:hyperlink r:id="rId19" w:history="1">
        <w:r w:rsidR="00210254" w:rsidRPr="002049E4">
          <w:rPr>
            <w:rStyle w:val="Collegamentoipertestuale"/>
          </w:rPr>
          <w:t>maffucci@unicas.it</w:t>
        </w:r>
      </w:hyperlink>
      <w:r w:rsidR="00210254">
        <w:t xml:space="preserve">; </w:t>
      </w:r>
      <w:r>
        <w:t xml:space="preserve"> </w:t>
      </w:r>
    </w:p>
    <w:p w:rsidR="0017623A" w:rsidRPr="00D945EC" w:rsidRDefault="00514F01" w:rsidP="0017623A">
      <w:pPr>
        <w:pStyle w:val="MDPI16affiliation"/>
      </w:pPr>
      <w:r>
        <w:rPr>
          <w:vertAlign w:val="superscript"/>
        </w:rPr>
        <w:t>6</w:t>
      </w:r>
      <w:r w:rsidRPr="00D945EC">
        <w:tab/>
      </w:r>
      <w:r w:rsidRPr="00514F01">
        <w:t>University of Eastern Finland, Joensuu, Finland</w:t>
      </w:r>
      <w:r w:rsidR="00DA20BE">
        <w:t xml:space="preserve">, </w:t>
      </w:r>
      <w:r w:rsidR="0017623A" w:rsidRPr="00514F01">
        <w:t>Italy</w:t>
      </w:r>
      <w:r w:rsidR="0017623A">
        <w:t xml:space="preserve">; </w:t>
      </w:r>
      <w:hyperlink r:id="rId20" w:history="1">
        <w:r w:rsidR="00210254" w:rsidRPr="002049E4">
          <w:rPr>
            <w:rStyle w:val="Collegamentoipertestuale"/>
          </w:rPr>
          <w:t>polina.kuzhir@gmail.com</w:t>
        </w:r>
      </w:hyperlink>
      <w:r w:rsidR="00210254">
        <w:t xml:space="preserve"> </w:t>
      </w:r>
    </w:p>
    <w:p w:rsidR="0017623A" w:rsidRDefault="0017623A" w:rsidP="0017623A">
      <w:pPr>
        <w:pStyle w:val="MDPI16affiliation"/>
      </w:pPr>
      <w:r w:rsidRPr="0017623A">
        <w:rPr>
          <w:vertAlign w:val="superscript"/>
        </w:rPr>
        <w:t>+</w:t>
      </w:r>
      <w:r w:rsidRPr="00D945EC">
        <w:tab/>
      </w:r>
      <w:r w:rsidRPr="0017623A">
        <w:t>These two authors contributed equally</w:t>
      </w:r>
      <w:r>
        <w:t>.</w:t>
      </w:r>
    </w:p>
    <w:p w:rsidR="00A73EE2" w:rsidRPr="00550626" w:rsidRDefault="00A73EE2" w:rsidP="00A73EE2">
      <w:pPr>
        <w:pStyle w:val="MDPI16affiliation"/>
      </w:pPr>
      <w:r w:rsidRPr="00DF5640">
        <w:rPr>
          <w:b/>
        </w:rPr>
        <w:t>*</w:t>
      </w:r>
      <w:r w:rsidRPr="00D945EC">
        <w:tab/>
        <w:t xml:space="preserve">Correspondence: </w:t>
      </w:r>
      <w:hyperlink r:id="rId21" w:history="1">
        <w:r w:rsidR="00210254" w:rsidRPr="002049E4">
          <w:rPr>
            <w:rStyle w:val="Collegamentoipertestuale"/>
          </w:rPr>
          <w:t>laura.micheli@uniroma2.it</w:t>
        </w:r>
      </w:hyperlink>
      <w:r w:rsidR="00DA20BE">
        <w:t xml:space="preserve"> </w:t>
      </w:r>
    </w:p>
    <w:p w:rsidR="00A73EE2" w:rsidRPr="00550626" w:rsidRDefault="00A73EE2" w:rsidP="00A73EE2">
      <w:pPr>
        <w:pStyle w:val="MDPI17abstract"/>
        <w:rPr>
          <w:szCs w:val="18"/>
        </w:rPr>
      </w:pPr>
      <w:r w:rsidRPr="00550626">
        <w:rPr>
          <w:b/>
          <w:szCs w:val="18"/>
        </w:rPr>
        <w:t xml:space="preserve">Abstract: </w:t>
      </w:r>
      <w:r w:rsidR="00514F01" w:rsidRPr="00514F01">
        <w:rPr>
          <w:szCs w:val="18"/>
        </w:rPr>
        <w:t>Herein, a facile, efficient and robust method for the determination of important industrial pollutants like hydroquinone and benzoquinone is reported. The recognition method is based on screen-printed electrodes modified with carbon-based nanomaterials. The enhancement is achieved by modifying the working electrodes of such screen-printed systems through highly se</w:t>
      </w:r>
      <w:r w:rsidR="00514F01" w:rsidRPr="00514F01">
        <w:rPr>
          <w:szCs w:val="18"/>
        </w:rPr>
        <w:t>n</w:t>
      </w:r>
      <w:r w:rsidR="00514F01" w:rsidRPr="00514F01">
        <w:rPr>
          <w:szCs w:val="18"/>
        </w:rPr>
        <w:t xml:space="preserve">sitive membranes made of Carbon Nanotubes or Graphene Nanoplatelets. The sensors, prepared in this way, are firstly carefully morphologically and electrochemically characterized, whereupon they are tested in the detection of different pollutants (i.e. hydroquinone and benzoquinone) in water solution, by using both Cyclic and Square-Wave Voltammetry. In particular, the sensor based on film-deposited carbon nanotubes (SWNT and MWNT) showed good sensitivity with a limit of detection in the nanomolar level (0.04 and 0.07 </w:t>
      </w:r>
      <w:proofErr w:type="spellStart"/>
      <w:r w:rsidR="00514F01" w:rsidRPr="00514F01">
        <w:rPr>
          <w:szCs w:val="18"/>
        </w:rPr>
        <w:t>μM</w:t>
      </w:r>
      <w:proofErr w:type="spellEnd"/>
      <w:r w:rsidR="00514F01" w:rsidRPr="00514F01">
        <w:rPr>
          <w:szCs w:val="18"/>
        </w:rPr>
        <w:t xml:space="preserve"> for SWNT and MWNT-modified SPEs, respectively) and a linear working range of 10 to 1000 ppb under optimal conditions. The results highlight the improved performance of these novel modified screen-printed platforms and the large-scale applicability of this method for other analytes (i.e. toxins, pollutants, etc.).</w:t>
      </w:r>
    </w:p>
    <w:p w:rsidR="00A73EE2" w:rsidRPr="00550626" w:rsidRDefault="00A73EE2" w:rsidP="00A73EE2">
      <w:pPr>
        <w:pStyle w:val="MDPI18keywords"/>
        <w:rPr>
          <w:szCs w:val="18"/>
        </w:rPr>
      </w:pPr>
      <w:r w:rsidRPr="00550626">
        <w:rPr>
          <w:b/>
          <w:szCs w:val="18"/>
        </w:rPr>
        <w:t xml:space="preserve">Keywords: </w:t>
      </w:r>
      <w:r w:rsidR="0017623A" w:rsidRPr="0017623A">
        <w:rPr>
          <w:szCs w:val="18"/>
        </w:rPr>
        <w:t>carbon-based nanomaterials, quinones, organic pollutants, screen-printed electrodes, voltammetry.</w:t>
      </w:r>
    </w:p>
    <w:p w:rsidR="00A73EE2" w:rsidRPr="00550626" w:rsidRDefault="00A73EE2" w:rsidP="00A73EE2">
      <w:pPr>
        <w:pStyle w:val="MDPI19line"/>
      </w:pPr>
    </w:p>
    <w:p w:rsidR="00A73EE2" w:rsidRDefault="00A73EE2" w:rsidP="00A73EE2">
      <w:pPr>
        <w:pStyle w:val="MDPI21heading1"/>
        <w:rPr>
          <w:lang w:eastAsia="zh-CN"/>
        </w:rPr>
      </w:pPr>
      <w:r w:rsidRPr="007F2582">
        <w:rPr>
          <w:lang w:eastAsia="zh-CN"/>
        </w:rPr>
        <w:t>1. Introduction</w:t>
      </w:r>
    </w:p>
    <w:p w:rsidR="0017623A" w:rsidRDefault="0017623A" w:rsidP="0017623A">
      <w:pPr>
        <w:pStyle w:val="MDPI31text"/>
      </w:pPr>
      <w:r>
        <w:t xml:space="preserve">Over the last half-century, the disproportionate industrialization has caused a huge increase in the release of potentially toxic compounds, thus contributing no small to the “great challenge” of our day: environmental pollution. </w:t>
      </w:r>
    </w:p>
    <w:p w:rsidR="0017623A" w:rsidRDefault="0017623A" w:rsidP="0017623A">
      <w:pPr>
        <w:pStyle w:val="MDPI31text"/>
      </w:pPr>
      <w:r>
        <w:t>Industrial waste may be solid, semi-solid or liquid in form and may pollute the nearby soil or adjacent water bodies, contaminating groundwater, lakes, streams, rivers or coastal waters [1]. Nowadays most countries have enacted legislation to deal with the problem of industrial waste, but strictness and compliance regimes vary, not always b</w:t>
      </w:r>
      <w:r>
        <w:t>e</w:t>
      </w:r>
      <w:r>
        <w:t xml:space="preserve">ing effective [2]. Moreover, recent research has shown that environmental pollutants are directly connected to the increase in human diseases, particularly those involved with the immune system [3,4]. In this regard, the contribution of benzene and its metabolites </w:t>
      </w:r>
      <w:r>
        <w:lastRenderedPageBreak/>
        <w:t>to this issue is well recognized, making them a public health problem [5,6]. Among the benzene metabolites, hydroquinone is undoubtedly one of the most important, due to its widespread application in human and industrial activities (i.e. as an inhibitor, antiox</w:t>
      </w:r>
      <w:r>
        <w:t>i</w:t>
      </w:r>
      <w:r>
        <w:t>dant, and intermediate in the synthesis of dyes, motor fuels and oils, in photographic processing, in cosmetics and medical preparations) [7,8]. Hydroquinone, also called 1,4-Benzenediol or 1,4-Dihydroxybenzene, is an aromatic compound comprising a be</w:t>
      </w:r>
      <w:r>
        <w:t>n</w:t>
      </w:r>
      <w:r>
        <w:t>zene core carrying two hydroxyl substituents at a para position to each other. It occurs in the environment as a result of anthropogenic processes [9] (i.e. industrial productions, etc.), as well as in natural products from plants and animals [10] (i.e. as arbutin, a glucose conjugate or in wheat, pears, coffee, onion, tea and red wine) [11,12]. Long exposure to hydroquinone can cause different types of health problems, from irritation (skin, eyes, nose and throat), to mutagenic effects (in animals) and even acute poisoning, which can cause dizziness, headache, and loss of consciousness, difficulty breathing and a fast or weak pulse [9,13–15]. In 1994, precisely because of its danger, hydroquinone was class</w:t>
      </w:r>
      <w:r>
        <w:t>i</w:t>
      </w:r>
      <w:r>
        <w:t xml:space="preserve">fied as a harmful chemical on the Approved Supply List and is labelled with risk phrases R20 and R22: harmful by inhalation and if swallowed. Since that time a lot of research has been carried out and several methods for the determination of hydroquinone have been developed [16]. In particular, numerous scientific publications based on chromatographic and spectrophotometric analysis (i.e. liquid chromatography-UV detection, HPLC–MS, </w:t>
      </w:r>
      <w:proofErr w:type="spellStart"/>
      <w:r>
        <w:t>etc</w:t>
      </w:r>
      <w:proofErr w:type="spellEnd"/>
      <w:r>
        <w:t>…) are reported in the literature [17–20]. Although these methods to measure hydr</w:t>
      </w:r>
      <w:r>
        <w:t>o</w:t>
      </w:r>
      <w:r>
        <w:t xml:space="preserve">quinone levels have been demonstrated to be effective, they still require a minimum of in-presence sample processing and high employment of reagents and time [21,22]. </w:t>
      </w:r>
    </w:p>
    <w:p w:rsidR="0017623A" w:rsidRDefault="0017623A" w:rsidP="0017623A">
      <w:pPr>
        <w:pStyle w:val="MDPI31text"/>
      </w:pPr>
      <w:r>
        <w:t xml:space="preserve">In this context, electrochemical sensors based on Screen-Printed Electrodes (SPEs) represent a valid alternative to the traditional staple techniques due to their instrumental simplicity, cost-effectiveness and portability [23]. However, it is well-known that the conventional screen-printed electrodes (i.e. graphite, carbon, etc.) have serious issues due to their sluggish surface kinetics which severely affects the sensitivity (i.e. broad peak, high potential needed, no peak at a lower concentration) and selectivity of the platforms [24]. Nowadays, Carbon Nano-Materials (CNMs) represent the most valid solution to overcome this problem, owing to the wide range of applications and their physical and chemical properties [21,25–27]. </w:t>
      </w:r>
    </w:p>
    <w:p w:rsidR="0017623A" w:rsidRDefault="0017623A" w:rsidP="0017623A">
      <w:pPr>
        <w:pStyle w:val="MDPI31text"/>
      </w:pPr>
      <w:r>
        <w:t>Among the several advantages provided by the modification of SPEs with CNMs, the improved surface kinetics, the enhanced electroactive surface area, and the amended adsorption and functionalization capability are the most important [21,24].</w:t>
      </w:r>
    </w:p>
    <w:p w:rsidR="00A73EE2" w:rsidRDefault="0017623A" w:rsidP="0017623A">
      <w:pPr>
        <w:pStyle w:val="MDPI31text"/>
      </w:pPr>
      <w:r>
        <w:t>In this work, set up-up a model sensor based on CNMs for the rapid, sensitive and highly reproducible environmental monitoring of hydroquinone (HQ) and benzoqu</w:t>
      </w:r>
      <w:r>
        <w:t>i</w:t>
      </w:r>
      <w:r>
        <w:t xml:space="preserve">none (BQ). In particular, we report on the post-printing modification of the working electrode (WE) of our serigraphic platform using three of the most promising types of graphene-based materials, specifically single and multi-wall carbon nanotube (SWNTs, MWNTs) and graphene </w:t>
      </w:r>
      <w:proofErr w:type="spellStart"/>
      <w:r>
        <w:t>nano</w:t>
      </w:r>
      <w:proofErr w:type="spellEnd"/>
      <w:r>
        <w:t>-platelets (GNPs). At first, we investigated electrochem</w:t>
      </w:r>
      <w:r>
        <w:t>i</w:t>
      </w:r>
      <w:r>
        <w:t>cally the electro-catalytic effectiveness (attributable to the π-conjugated honeycomb structure) of carbon nanotubes (CNTs) and GNPs, once used in the modification of SPEs. In particular, CNTs films were used to create and thus modify the working electrodes (WE) of SPEs, whereas the GNP-modified electrodes were prepared using classical SPE drop-casted with a dispersion of GNP. After that, the analytical performances of CNMs-based sensors for the detection of HQ and benzoquinone (BQ) in buffer and real sample matrix (water) were tested. The results indicate that the presence of CNMs, in particular SWNTs, leads to a significant increase in the intensity of the recorded Faradic current (resulting from the growth surface area of the platform) in comparison to bare SPEs. The repeatability values (RSD%) fluctuate from 11% of the bare-SPE to 6% of the SWNT-SPEs. Also in this case, therefore, the modified platforms are configured as a suitable tool for the quantification of organic analytes present in low concentration in an aqueous solution (below 0.5 mM of hydroquinone).</w:t>
      </w:r>
    </w:p>
    <w:p w:rsidR="00A73EE2" w:rsidRPr="00FA04F1" w:rsidRDefault="00A73EE2" w:rsidP="00A73EE2">
      <w:pPr>
        <w:pStyle w:val="MDPI21heading1"/>
      </w:pPr>
      <w:bookmarkStart w:id="1" w:name="_Hlk102560655"/>
      <w:r w:rsidRPr="00FA04F1">
        <w:rPr>
          <w:lang w:eastAsia="zh-CN"/>
        </w:rPr>
        <w:lastRenderedPageBreak/>
        <w:t xml:space="preserve">2. </w:t>
      </w:r>
      <w:r w:rsidRPr="00FA04F1">
        <w:t>Materials and Methods</w:t>
      </w:r>
    </w:p>
    <w:p w:rsidR="00210254" w:rsidRPr="001F31D1" w:rsidRDefault="00210254" w:rsidP="00210254">
      <w:pPr>
        <w:pStyle w:val="MDPI22heading2"/>
        <w:spacing w:before="240"/>
      </w:pPr>
      <w:r>
        <w:t>2</w:t>
      </w:r>
      <w:r w:rsidRPr="001F31D1">
        <w:t xml:space="preserve">.1. </w:t>
      </w:r>
      <w:r>
        <w:t>Materials</w:t>
      </w:r>
    </w:p>
    <w:p w:rsidR="00210254" w:rsidRDefault="00210254" w:rsidP="00567B5A">
      <w:pPr>
        <w:pStyle w:val="MDPI31text"/>
      </w:pPr>
      <w:r w:rsidRPr="00210254">
        <w:t xml:space="preserve">All chemicals from commercial sources were of analytical grade. Ethanol, potassium </w:t>
      </w:r>
      <w:proofErr w:type="spellStart"/>
      <w:r w:rsidRPr="00210254">
        <w:t>ferri</w:t>
      </w:r>
      <w:proofErr w:type="spellEnd"/>
      <w:r w:rsidRPr="00210254">
        <w:t>/</w:t>
      </w:r>
      <w:proofErr w:type="spellStart"/>
      <w:r w:rsidRPr="00210254">
        <w:t>ferrocyanide</w:t>
      </w:r>
      <w:proofErr w:type="spellEnd"/>
      <w:r w:rsidRPr="00210254">
        <w:t>, p-benzoquinone and hydroquinone were purchased from Si</w:t>
      </w:r>
      <w:r w:rsidRPr="00210254">
        <w:t>g</w:t>
      </w:r>
      <w:r w:rsidRPr="00210254">
        <w:t>ma-Aldrich (</w:t>
      </w:r>
      <w:proofErr w:type="spellStart"/>
      <w:r w:rsidRPr="00210254">
        <w:t>Steinheim</w:t>
      </w:r>
      <w:proofErr w:type="spellEnd"/>
      <w:r w:rsidRPr="00210254">
        <w:t xml:space="preserve">, Germany). MWNTs and SWNTs were purchased from </w:t>
      </w:r>
      <w:proofErr w:type="spellStart"/>
      <w:r w:rsidRPr="00210254">
        <w:t>Heji</w:t>
      </w:r>
      <w:proofErr w:type="spellEnd"/>
      <w:r w:rsidRPr="00210254">
        <w:t xml:space="preserve"> Inc. (Hong Kong) and </w:t>
      </w:r>
      <w:proofErr w:type="spellStart"/>
      <w:r w:rsidRPr="00210254">
        <w:t>Nanointegris</w:t>
      </w:r>
      <w:proofErr w:type="spellEnd"/>
      <w:r w:rsidRPr="00210254">
        <w:t xml:space="preserve"> Technology Inc. (Canada), respectively. GNPs were in-house produced by microcleavage exfoliation of the expanded graphite (provided by Asbury®, Wilmore, KY, USA) and reported in detail in [25-26]. The buffer solution used is a 0.05 M phosphate buffer saline (PBS), 0.1 M </w:t>
      </w:r>
      <w:proofErr w:type="spellStart"/>
      <w:r w:rsidRPr="00210254">
        <w:t>KCl</w:t>
      </w:r>
      <w:proofErr w:type="spellEnd"/>
      <w:r w:rsidRPr="00210254">
        <w:t>, pH = 7.4.</w:t>
      </w:r>
    </w:p>
    <w:p w:rsidR="00210254" w:rsidRDefault="00210254" w:rsidP="00567B5A">
      <w:pPr>
        <w:pStyle w:val="MDPI31text"/>
      </w:pPr>
    </w:p>
    <w:p w:rsidR="00210254" w:rsidRPr="001F31D1" w:rsidRDefault="00210254" w:rsidP="00210254">
      <w:pPr>
        <w:pStyle w:val="MDPI22heading2"/>
        <w:spacing w:before="240"/>
      </w:pPr>
      <w:r>
        <w:t>2</w:t>
      </w:r>
      <w:r w:rsidRPr="001F31D1">
        <w:t>.</w:t>
      </w:r>
      <w:r>
        <w:t>2</w:t>
      </w:r>
      <w:r w:rsidRPr="001F31D1">
        <w:t xml:space="preserve">. </w:t>
      </w:r>
      <w:r w:rsidRPr="00210254">
        <w:t>Fabrication of GNPs and CNTs and integration into SPEs</w:t>
      </w:r>
    </w:p>
    <w:p w:rsidR="00C94B18" w:rsidRDefault="00210254" w:rsidP="00C94B18">
      <w:pPr>
        <w:pStyle w:val="MDPI31text"/>
        <w:rPr>
          <w:lang w:val="en"/>
        </w:rPr>
      </w:pPr>
      <w:r w:rsidRPr="00210254">
        <w:rPr>
          <w:lang w:val="en"/>
        </w:rPr>
        <w:t>The microwave exfoliation technique, a low-cost and industrially scalable procedure [25-26], was used to prepare the GNPs employed in the modification of our platforms. In particular, the procedure started from commercial expandable graphite (EG), intercalated with sulfates and nitrates (inserted between the adjacent layers of sp</w:t>
      </w:r>
      <w:r w:rsidRPr="00210254">
        <w:rPr>
          <w:vertAlign w:val="superscript"/>
          <w:lang w:val="en"/>
        </w:rPr>
        <w:t>2</w:t>
      </w:r>
      <w:r w:rsidRPr="00210254">
        <w:rPr>
          <w:lang w:val="en"/>
        </w:rPr>
        <w:t xml:space="preserve"> hybridized carbon). The graphite was then heated in a microwave oven (800W-power, 10 seconds). The thermal shock vaporized the molecules present inside the EG, expanding to form worm-like graphene. These structures were then placed in isopropyl alcohol and son</w:t>
      </w:r>
      <w:r w:rsidRPr="00210254">
        <w:rPr>
          <w:lang w:val="en"/>
        </w:rPr>
        <w:t>i</w:t>
      </w:r>
      <w:r w:rsidRPr="00210254">
        <w:rPr>
          <w:lang w:val="en"/>
        </w:rPr>
        <w:t xml:space="preserve">cated for about 10 minutes, obtaining a solution with the final GNPs of typical lateral sizes in the range of 2-10 </w:t>
      </w:r>
      <w:proofErr w:type="spellStart"/>
      <w:r w:rsidRPr="00210254">
        <w:rPr>
          <w:lang w:val="en"/>
        </w:rPr>
        <w:t>μm</w:t>
      </w:r>
      <w:proofErr w:type="spellEnd"/>
      <w:r w:rsidRPr="00210254">
        <w:rPr>
          <w:lang w:val="en"/>
        </w:rPr>
        <w:t>, as in the example given in Fig.1a, where a Scanning Ele</w:t>
      </w:r>
      <w:r w:rsidRPr="00210254">
        <w:rPr>
          <w:lang w:val="en"/>
        </w:rPr>
        <w:t>c</w:t>
      </w:r>
      <w:r w:rsidRPr="00210254">
        <w:rPr>
          <w:lang w:val="en"/>
        </w:rPr>
        <w:t xml:space="preserve">tron Microscope (SEM) image of a GNP is provided. </w:t>
      </w:r>
    </w:p>
    <w:p w:rsidR="00C94B18" w:rsidRPr="00210254" w:rsidRDefault="00C94B18" w:rsidP="00210254">
      <w:pPr>
        <w:pStyle w:val="MDPI31text"/>
        <w:rPr>
          <w:lang w:val="en"/>
        </w:rPr>
      </w:pPr>
    </w:p>
    <w:p w:rsidR="002C1F91" w:rsidRDefault="002C1F91" w:rsidP="00567B5A">
      <w:pPr>
        <w:pStyle w:val="MDPI31text"/>
      </w:pPr>
    </w:p>
    <w:tbl>
      <w:tblPr>
        <w:tblW w:w="0" w:type="auto"/>
        <w:jc w:val="center"/>
        <w:tblLook w:val="0000" w:firstRow="0" w:lastRow="0" w:firstColumn="0" w:lastColumn="0" w:noHBand="0" w:noVBand="0"/>
      </w:tblPr>
      <w:tblGrid>
        <w:gridCol w:w="4057"/>
        <w:gridCol w:w="4268"/>
      </w:tblGrid>
      <w:tr w:rsidR="00210254" w:rsidRPr="00196D5A" w:rsidTr="005F1D2E">
        <w:trPr>
          <w:jc w:val="center"/>
        </w:trPr>
        <w:tc>
          <w:tcPr>
            <w:tcW w:w="4057" w:type="dxa"/>
            <w:shd w:val="clear" w:color="auto" w:fill="auto"/>
            <w:vAlign w:val="center"/>
          </w:tcPr>
          <w:p w:rsidR="00210254" w:rsidRPr="00196D5A" w:rsidRDefault="00210254" w:rsidP="005F1D2E">
            <w:pPr>
              <w:pStyle w:val="MDPI52figure"/>
              <w:spacing w:before="0"/>
            </w:pPr>
            <w:r w:rsidRPr="002E316D">
              <w:rPr>
                <w:rFonts w:ascii="Times New Roman" w:hAnsi="Times New Roman"/>
                <w:b/>
                <w:noProof/>
                <w:sz w:val="22"/>
                <w:szCs w:val="22"/>
                <w:lang w:val="it-IT" w:eastAsia="it-IT" w:bidi="ar-SA"/>
              </w:rPr>
              <w:drawing>
                <wp:anchor distT="0" distB="0" distL="114300" distR="114300" simplePos="0" relativeHeight="251659264" behindDoc="0" locked="0" layoutInCell="1" allowOverlap="1" wp14:anchorId="2E9CB0D2" wp14:editId="4C382641">
                  <wp:simplePos x="0" y="0"/>
                  <wp:positionH relativeFrom="column">
                    <wp:posOffset>140335</wp:posOffset>
                  </wp:positionH>
                  <wp:positionV relativeFrom="paragraph">
                    <wp:posOffset>3175</wp:posOffset>
                  </wp:positionV>
                  <wp:extent cx="2560955" cy="2161540"/>
                  <wp:effectExtent l="0" t="0" r="0" b="0"/>
                  <wp:wrapNone/>
                  <wp:docPr id="35"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4"/>
                          <pic:cNvPicPr>
                            <a:picLocks noChangeAspect="1"/>
                          </pic:cNvPicPr>
                        </pic:nvPicPr>
                        <pic:blipFill>
                          <a:blip r:embed="rId22" cstate="email">
                            <a:extLst>
                              <a:ext uri="{28A0092B-C50C-407E-A947-70E740481C1C}">
                                <a14:useLocalDpi xmlns:a14="http://schemas.microsoft.com/office/drawing/2010/main" val="0"/>
                              </a:ext>
                            </a:extLst>
                          </a:blip>
                          <a:stretch>
                            <a:fillRect/>
                          </a:stretch>
                        </pic:blipFill>
                        <pic:spPr>
                          <a:xfrm>
                            <a:off x="0" y="0"/>
                            <a:ext cx="2560955" cy="2161540"/>
                          </a:xfrm>
                          <a:prstGeom prst="rect">
                            <a:avLst/>
                          </a:prstGeom>
                        </pic:spPr>
                      </pic:pic>
                    </a:graphicData>
                  </a:graphic>
                  <wp14:sizeRelH relativeFrom="margin">
                    <wp14:pctWidth>0</wp14:pctWidth>
                  </wp14:sizeRelH>
                  <wp14:sizeRelV relativeFrom="margin">
                    <wp14:pctHeight>0</wp14:pctHeight>
                  </wp14:sizeRelV>
                </wp:anchor>
              </w:drawing>
            </w:r>
          </w:p>
        </w:tc>
        <w:tc>
          <w:tcPr>
            <w:tcW w:w="4268" w:type="dxa"/>
          </w:tcPr>
          <w:p w:rsidR="00210254" w:rsidRPr="00196D5A" w:rsidRDefault="00C94B18" w:rsidP="005F1D2E">
            <w:pPr>
              <w:pStyle w:val="MDPI52figure"/>
              <w:spacing w:before="0"/>
            </w:pPr>
            <w:r w:rsidRPr="002E316D">
              <w:rPr>
                <w:rFonts w:ascii="Times New Roman" w:hAnsi="Times New Roman"/>
                <w:noProof/>
                <w:lang w:val="it-IT" w:eastAsia="it-IT" w:bidi="ar-SA"/>
              </w:rPr>
              <mc:AlternateContent>
                <mc:Choice Requires="wpg">
                  <w:drawing>
                    <wp:anchor distT="0" distB="0" distL="114300" distR="114300" simplePos="0" relativeHeight="251669504" behindDoc="0" locked="0" layoutInCell="1" allowOverlap="1" wp14:anchorId="79D2049E">
                      <wp:simplePos x="0" y="0"/>
                      <wp:positionH relativeFrom="column">
                        <wp:posOffset>294640</wp:posOffset>
                      </wp:positionH>
                      <wp:positionV relativeFrom="paragraph">
                        <wp:posOffset>15240</wp:posOffset>
                      </wp:positionV>
                      <wp:extent cx="2893280" cy="2286000"/>
                      <wp:effectExtent l="19050" t="19050" r="21590" b="0"/>
                      <wp:wrapNone/>
                      <wp:docPr id="4" name="Gruppo 4"/>
                      <wp:cNvGraphicFramePr/>
                      <a:graphic xmlns:a="http://schemas.openxmlformats.org/drawingml/2006/main">
                        <a:graphicData uri="http://schemas.microsoft.com/office/word/2010/wordprocessingGroup">
                          <wpg:wgp>
                            <wpg:cNvGrpSpPr/>
                            <wpg:grpSpPr>
                              <a:xfrm>
                                <a:off x="0" y="0"/>
                                <a:ext cx="2893280" cy="2286000"/>
                                <a:chOff x="0" y="0"/>
                                <a:chExt cx="3752850" cy="2743200"/>
                              </a:xfrm>
                            </wpg:grpSpPr>
                            <wpg:grpSp>
                              <wpg:cNvPr id="8" name="Gruppo 8"/>
                              <wpg:cNvGrpSpPr/>
                              <wpg:grpSpPr>
                                <a:xfrm>
                                  <a:off x="0" y="0"/>
                                  <a:ext cx="3752850" cy="2743200"/>
                                  <a:chOff x="0" y="0"/>
                                  <a:chExt cx="3752850" cy="2743200"/>
                                </a:xfrm>
                              </wpg:grpSpPr>
                              <pic:pic xmlns:pic="http://schemas.openxmlformats.org/drawingml/2006/picture">
                                <pic:nvPicPr>
                                  <pic:cNvPr id="33" name="Immagine 2"/>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752850" cy="2418715"/>
                                  </a:xfrm>
                                  <a:prstGeom prst="rect">
                                    <a:avLst/>
                                  </a:prstGeom>
                                  <a:noFill/>
                                  <a:ln>
                                    <a:solidFill>
                                      <a:schemeClr val="accent1"/>
                                    </a:solidFill>
                                  </a:ln>
                                </pic:spPr>
                              </pic:pic>
                              <wps:wsp>
                                <wps:cNvPr id="34" name="Casella di testo 2"/>
                                <wps:cNvSpPr txBox="1">
                                  <a:spLocks noChangeArrowheads="1"/>
                                </wps:cNvSpPr>
                                <wps:spPr bwMode="auto">
                                  <a:xfrm>
                                    <a:off x="1276350" y="600075"/>
                                    <a:ext cx="571500" cy="352425"/>
                                  </a:xfrm>
                                  <a:prstGeom prst="rect">
                                    <a:avLst/>
                                  </a:prstGeom>
                                  <a:noFill/>
                                  <a:ln w="9525">
                                    <a:noFill/>
                                    <a:miter lim="800000"/>
                                    <a:headEnd/>
                                    <a:tailEnd/>
                                  </a:ln>
                                </wps:spPr>
                                <wps:txbx>
                                  <w:txbxContent>
                                    <w:p w:rsidR="00122639" w:rsidRPr="00A27896" w:rsidRDefault="00122639" w:rsidP="00C94B18">
                                      <w:pPr>
                                        <w:rPr>
                                          <w:lang w:val="it-IT"/>
                                        </w:rPr>
                                      </w:pPr>
                                      <w:r>
                                        <w:t>D</w:t>
                                      </w:r>
                                    </w:p>
                                  </w:txbxContent>
                                </wps:txbx>
                                <wps:bodyPr rot="0" vert="horz" wrap="square" lIns="91440" tIns="45720" rIns="91440" bIns="45720" anchor="t" anchorCtr="0">
                                  <a:noAutofit/>
                                </wps:bodyPr>
                              </wps:wsp>
                              <wps:wsp>
                                <wps:cNvPr id="39" name="Casella di testo 2"/>
                                <wps:cNvSpPr txBox="1">
                                  <a:spLocks noChangeArrowheads="1"/>
                                </wps:cNvSpPr>
                                <wps:spPr bwMode="auto">
                                  <a:xfrm>
                                    <a:off x="1971675" y="381000"/>
                                    <a:ext cx="571500" cy="352425"/>
                                  </a:xfrm>
                                  <a:prstGeom prst="rect">
                                    <a:avLst/>
                                  </a:prstGeom>
                                  <a:noFill/>
                                  <a:ln w="9525">
                                    <a:noFill/>
                                    <a:miter lim="800000"/>
                                    <a:headEnd/>
                                    <a:tailEnd/>
                                  </a:ln>
                                </wps:spPr>
                                <wps:txbx>
                                  <w:txbxContent>
                                    <w:p w:rsidR="00122639" w:rsidRPr="00A27896" w:rsidRDefault="00122639" w:rsidP="00C94B18">
                                      <w:pPr>
                                        <w:rPr>
                                          <w:lang w:val="it-IT"/>
                                        </w:rPr>
                                      </w:pPr>
                                      <w:r>
                                        <w:t>D’</w:t>
                                      </w:r>
                                    </w:p>
                                  </w:txbxContent>
                                </wps:txbx>
                                <wps:bodyPr rot="0" vert="horz" wrap="square" lIns="91440" tIns="45720" rIns="91440" bIns="45720" anchor="t" anchorCtr="0">
                                  <a:noAutofit/>
                                </wps:bodyPr>
                              </wps:wsp>
                              <wps:wsp>
                                <wps:cNvPr id="40" name="Casella di testo 2"/>
                                <wps:cNvSpPr txBox="1">
                                  <a:spLocks noChangeArrowheads="1"/>
                                </wps:cNvSpPr>
                                <wps:spPr bwMode="auto">
                                  <a:xfrm>
                                    <a:off x="1400175" y="0"/>
                                    <a:ext cx="571500" cy="352425"/>
                                  </a:xfrm>
                                  <a:prstGeom prst="rect">
                                    <a:avLst/>
                                  </a:prstGeom>
                                  <a:noFill/>
                                  <a:ln w="9525">
                                    <a:noFill/>
                                    <a:miter lim="800000"/>
                                    <a:headEnd/>
                                    <a:tailEnd/>
                                  </a:ln>
                                </wps:spPr>
                                <wps:txbx>
                                  <w:txbxContent>
                                    <w:p w:rsidR="00122639" w:rsidRPr="00A27896" w:rsidRDefault="00122639" w:rsidP="00C94B18">
                                      <w:pPr>
                                        <w:rPr>
                                          <w:lang w:val="it-IT"/>
                                        </w:rPr>
                                      </w:pPr>
                                      <w:r>
                                        <w:t>G</w:t>
                                      </w:r>
                                    </w:p>
                                  </w:txbxContent>
                                </wps:txbx>
                                <wps:bodyPr rot="0" vert="horz" wrap="square" lIns="91440" tIns="45720" rIns="91440" bIns="45720" anchor="t" anchorCtr="0">
                                  <a:noAutofit/>
                                </wps:bodyPr>
                              </wps:wsp>
                              <wps:wsp>
                                <wps:cNvPr id="41" name="Casella di testo 2"/>
                                <wps:cNvSpPr txBox="1">
                                  <a:spLocks noChangeArrowheads="1"/>
                                </wps:cNvSpPr>
                                <wps:spPr bwMode="auto">
                                  <a:xfrm>
                                    <a:off x="2781300" y="247650"/>
                                    <a:ext cx="571500" cy="352425"/>
                                  </a:xfrm>
                                  <a:prstGeom prst="rect">
                                    <a:avLst/>
                                  </a:prstGeom>
                                  <a:noFill/>
                                  <a:ln w="9525">
                                    <a:noFill/>
                                    <a:miter lim="800000"/>
                                    <a:headEnd/>
                                    <a:tailEnd/>
                                  </a:ln>
                                </wps:spPr>
                                <wps:txbx>
                                  <w:txbxContent>
                                    <w:p w:rsidR="00122639" w:rsidRPr="00A27896" w:rsidRDefault="00122639" w:rsidP="00C94B18">
                                      <w:pPr>
                                        <w:rPr>
                                          <w:lang w:val="it-IT"/>
                                        </w:rPr>
                                      </w:pPr>
                                      <w:r>
                                        <w:t>2D</w:t>
                                      </w:r>
                                    </w:p>
                                  </w:txbxContent>
                                </wps:txbx>
                                <wps:bodyPr rot="0" vert="horz" wrap="square" lIns="91440" tIns="45720" rIns="91440" bIns="45720" anchor="t" anchorCtr="0">
                                  <a:noAutofit/>
                                </wps:bodyPr>
                              </wps:wsp>
                              <wps:wsp>
                                <wps:cNvPr id="42" name="Casella di testo 2"/>
                                <wps:cNvSpPr txBox="1">
                                  <a:spLocks noChangeArrowheads="1"/>
                                </wps:cNvSpPr>
                                <wps:spPr bwMode="auto">
                                  <a:xfrm>
                                    <a:off x="1238250" y="2390775"/>
                                    <a:ext cx="2114550" cy="352425"/>
                                  </a:xfrm>
                                  <a:prstGeom prst="rect">
                                    <a:avLst/>
                                  </a:prstGeom>
                                  <a:noFill/>
                                  <a:ln w="9525">
                                    <a:noFill/>
                                    <a:miter lim="800000"/>
                                    <a:headEnd/>
                                    <a:tailEnd/>
                                  </a:ln>
                                </wps:spPr>
                                <wps:txbx>
                                  <w:txbxContent>
                                    <w:p w:rsidR="00122639" w:rsidRPr="00A27896" w:rsidRDefault="00122639" w:rsidP="00C94B18">
                                      <w:pPr>
                                        <w:rPr>
                                          <w:lang w:val="it-IT"/>
                                        </w:rPr>
                                      </w:pPr>
                                      <w:r w:rsidRPr="00A27896">
                                        <w:t>Raman shift (cm</w:t>
                                      </w:r>
                                      <w:r w:rsidRPr="00A27896">
                                        <w:rPr>
                                          <w:vertAlign w:val="superscript"/>
                                        </w:rPr>
                                        <w:t>-1</w:t>
                                      </w:r>
                                      <w:r w:rsidRPr="00A27896">
                                        <w:t>)</w:t>
                                      </w:r>
                                    </w:p>
                                  </w:txbxContent>
                                </wps:txbx>
                                <wps:bodyPr rot="0" vert="horz" wrap="square" lIns="91440" tIns="45720" rIns="91440" bIns="45720" anchor="t" anchorCtr="0">
                                  <a:noAutofit/>
                                </wps:bodyPr>
                              </wps:wsp>
                            </wpg:grpSp>
                            <wps:wsp>
                              <wps:cNvPr id="43" name="Connettore 2 43"/>
                              <wps:cNvCnPr/>
                              <wps:spPr>
                                <a:xfrm flipH="1">
                                  <a:off x="1771650" y="600075"/>
                                  <a:ext cx="200025" cy="1333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9D2049E" id="Gruppo 4" o:spid="_x0000_s1026" style="position:absolute;left:0;text-align:left;margin-left:23.2pt;margin-top:1.2pt;width:227.8pt;height:180pt;z-index:251669504" coordsize="37528,27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">
                      <v:group id="Gruppo 8" o:spid="_x0000_s1027" style="position:absolute;width:37528;height:27432" coordsize="37528,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s1028" type="#_x0000_t75" style="position:absolute;width:37528;height:24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" stroked="t" strokecolor="#4472c4 [3204]">
                          <v:imagedata r:id="rId24" o:title=""/>
                          <v:path arrowok="t"/>
                        </v:shape>
                        <v:shapetype id="_x0000_t202" coordsize="21600,21600" o:spt="202" path="m,l,21600r21600,l21600,xe">
                          <v:stroke joinstyle="miter"/>
                          <v:path gradientshapeok="t" o:connecttype="rect"/>
                        </v:shapetype>
                        <v:shape id="Casella di testo 2" o:spid="_x0000_s1029" type="#_x0000_t202" style="position:absolute;left:12763;top:6000;width:5715;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rsidR="00122639" w:rsidRPr="00A27896" w:rsidRDefault="00122639" w:rsidP="00C94B18">
                                <w:pPr>
                                  <w:rPr>
                                    <w:lang w:val="it-IT"/>
                                  </w:rPr>
                                </w:pPr>
                                <w:r>
                                  <w:t>D</w:t>
                                </w:r>
                              </w:p>
                            </w:txbxContent>
                          </v:textbox>
                        </v:shape>
                        <v:shape id="Casella di testo 2" o:spid="_x0000_s1030" type="#_x0000_t202" style="position:absolute;left:19716;top:3810;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" filled="f" stroked="f">
                          <v:textbox>
                            <w:txbxContent>
                              <w:p w:rsidR="00122639" w:rsidRPr="00A27896" w:rsidRDefault="00122639" w:rsidP="00C94B18">
                                <w:pPr>
                                  <w:rPr>
                                    <w:lang w:val="it-IT"/>
                                  </w:rPr>
                                </w:pPr>
                                <w:r>
                                  <w:t>D’</w:t>
                                </w:r>
                              </w:p>
                            </w:txbxContent>
                          </v:textbox>
                        </v:shape>
                        <v:shape id="Casella di testo 2" o:spid="_x0000_s1031" type="#_x0000_t202" style="position:absolute;left:14001;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rsidR="00122639" w:rsidRPr="00A27896" w:rsidRDefault="00122639" w:rsidP="00C94B18">
                                <w:pPr>
                                  <w:rPr>
                                    <w:lang w:val="it-IT"/>
                                  </w:rPr>
                                </w:pPr>
                                <w:r>
                                  <w:t>G</w:t>
                                </w:r>
                              </w:p>
                            </w:txbxContent>
                          </v:textbox>
                        </v:shape>
                        <v:shape id="Casella di testo 2" o:spid="_x0000_s1032" type="#_x0000_t202" style="position:absolute;left:27813;top:2476;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rsidR="00122639" w:rsidRPr="00A27896" w:rsidRDefault="00122639" w:rsidP="00C94B18">
                                <w:pPr>
                                  <w:rPr>
                                    <w:lang w:val="it-IT"/>
                                  </w:rPr>
                                </w:pPr>
                                <w:r>
                                  <w:t>2D</w:t>
                                </w:r>
                              </w:p>
                            </w:txbxContent>
                          </v:textbox>
                        </v:shape>
                        <v:shape id="Casella di testo 2" o:spid="_x0000_s1033" type="#_x0000_t202" style="position:absolute;left:12382;top:23907;width:21146;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rsidR="00122639" w:rsidRPr="00A27896" w:rsidRDefault="00122639" w:rsidP="00C94B18">
                                <w:pPr>
                                  <w:rPr>
                                    <w:lang w:val="it-IT"/>
                                  </w:rPr>
                                </w:pPr>
                                <w:r w:rsidRPr="00A27896">
                                  <w:t>Raman shift (cm</w:t>
                                </w:r>
                                <w:r w:rsidRPr="00A27896">
                                  <w:rPr>
                                    <w:vertAlign w:val="superscript"/>
                                  </w:rPr>
                                  <w:t>-1</w:t>
                                </w:r>
                                <w:r w:rsidRPr="00A27896">
                                  <w:t>)</w:t>
                                </w:r>
                              </w:p>
                            </w:txbxContent>
                          </v:textbox>
                        </v:shape>
                      </v:group>
                      <v:shapetype id="_x0000_t32" coordsize="21600,21600" o:spt="32" o:oned="t" path="m,l21600,21600e" filled="f">
                        <v:path arrowok="t" fillok="f" o:connecttype="none"/>
                        <o:lock v:ext="edit" shapetype="t"/>
                      </v:shapetype>
                      <v:shape id="Connettore 2 43" o:spid="_x0000_s1034" type="#_x0000_t32" style="position:absolute;left:17716;top:6000;width:2000;height:13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" strokecolor="black [3213]" strokeweight=".5pt">
                        <v:stroke endarrow="block" joinstyle="miter"/>
                      </v:shape>
                    </v:group>
                  </w:pict>
                </mc:Fallback>
              </mc:AlternateContent>
            </w:r>
            <w:r w:rsidR="00210254" w:rsidRPr="002E316D">
              <w:rPr>
                <w:rFonts w:ascii="Times New Roman" w:hAnsi="Times New Roman"/>
                <w:noProof/>
                <w:lang w:val="it-IT" w:eastAsia="it-IT" w:bidi="ar-SA"/>
              </w:rPr>
              <mc:AlternateContent>
                <mc:Choice Requires="wpg">
                  <w:drawing>
                    <wp:anchor distT="0" distB="0" distL="114300" distR="114300" simplePos="0" relativeHeight="251660288" behindDoc="0" locked="0" layoutInCell="1" allowOverlap="1" wp14:anchorId="114A1F9A">
                      <wp:simplePos x="0" y="0"/>
                      <wp:positionH relativeFrom="column">
                        <wp:posOffset>3368872</wp:posOffset>
                      </wp:positionH>
                      <wp:positionV relativeFrom="paragraph">
                        <wp:posOffset>6489700</wp:posOffset>
                      </wp:positionV>
                      <wp:extent cx="2893060" cy="2286000"/>
                      <wp:effectExtent l="19050" t="19050" r="21590" b="0"/>
                      <wp:wrapNone/>
                      <wp:docPr id="18" name="Gruppo 18"/>
                      <wp:cNvGraphicFramePr/>
                      <a:graphic xmlns:a="http://schemas.openxmlformats.org/drawingml/2006/main">
                        <a:graphicData uri="http://schemas.microsoft.com/office/word/2010/wordprocessingGroup">
                          <wpg:wgp>
                            <wpg:cNvGrpSpPr/>
                            <wpg:grpSpPr>
                              <a:xfrm>
                                <a:off x="0" y="0"/>
                                <a:ext cx="2893060" cy="2286000"/>
                                <a:chOff x="0" y="0"/>
                                <a:chExt cx="3752850" cy="2743200"/>
                              </a:xfrm>
                            </wpg:grpSpPr>
                            <wpg:grpSp>
                              <wpg:cNvPr id="17" name="Gruppo 17"/>
                              <wpg:cNvGrpSpPr/>
                              <wpg:grpSpPr>
                                <a:xfrm>
                                  <a:off x="0" y="0"/>
                                  <a:ext cx="3752850" cy="2743200"/>
                                  <a:chOff x="0" y="0"/>
                                  <a:chExt cx="3752850" cy="2743200"/>
                                </a:xfrm>
                              </wpg:grpSpPr>
                              <pic:pic xmlns:pic="http://schemas.openxmlformats.org/drawingml/2006/picture">
                                <pic:nvPicPr>
                                  <pic:cNvPr id="2049" name="Immagine 2"/>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752850" cy="2418715"/>
                                  </a:xfrm>
                                  <a:prstGeom prst="rect">
                                    <a:avLst/>
                                  </a:prstGeom>
                                  <a:noFill/>
                                  <a:ln>
                                    <a:solidFill>
                                      <a:schemeClr val="accent1"/>
                                    </a:solidFill>
                                  </a:ln>
                                </pic:spPr>
                              </pic:pic>
                              <wps:wsp>
                                <wps:cNvPr id="217" name="Casella di testo 2"/>
                                <wps:cNvSpPr txBox="1">
                                  <a:spLocks noChangeArrowheads="1"/>
                                </wps:cNvSpPr>
                                <wps:spPr bwMode="auto">
                                  <a:xfrm>
                                    <a:off x="1276350" y="600075"/>
                                    <a:ext cx="571500" cy="352425"/>
                                  </a:xfrm>
                                  <a:prstGeom prst="rect">
                                    <a:avLst/>
                                  </a:prstGeom>
                                  <a:noFill/>
                                  <a:ln w="9525">
                                    <a:noFill/>
                                    <a:miter lim="800000"/>
                                    <a:headEnd/>
                                    <a:tailEnd/>
                                  </a:ln>
                                </wps:spPr>
                                <wps:txbx>
                                  <w:txbxContent>
                                    <w:p w:rsidR="00122639" w:rsidRPr="00A27896" w:rsidRDefault="00122639" w:rsidP="00210254">
                                      <w:pPr>
                                        <w:rPr>
                                          <w:lang w:val="it-IT"/>
                                        </w:rPr>
                                      </w:pPr>
                                      <w:r>
                                        <w:t>D</w:t>
                                      </w:r>
                                    </w:p>
                                  </w:txbxContent>
                                </wps:txbx>
                                <wps:bodyPr rot="0" vert="horz" wrap="square" lIns="91440" tIns="45720" rIns="91440" bIns="45720" anchor="t" anchorCtr="0">
                                  <a:noAutofit/>
                                </wps:bodyPr>
                              </wps:wsp>
                              <wps:wsp>
                                <wps:cNvPr id="12" name="Casella di testo 2"/>
                                <wps:cNvSpPr txBox="1">
                                  <a:spLocks noChangeArrowheads="1"/>
                                </wps:cNvSpPr>
                                <wps:spPr bwMode="auto">
                                  <a:xfrm>
                                    <a:off x="1971675" y="381000"/>
                                    <a:ext cx="571500" cy="352425"/>
                                  </a:xfrm>
                                  <a:prstGeom prst="rect">
                                    <a:avLst/>
                                  </a:prstGeom>
                                  <a:noFill/>
                                  <a:ln w="9525">
                                    <a:noFill/>
                                    <a:miter lim="800000"/>
                                    <a:headEnd/>
                                    <a:tailEnd/>
                                  </a:ln>
                                </wps:spPr>
                                <wps:txbx>
                                  <w:txbxContent>
                                    <w:p w:rsidR="00122639" w:rsidRPr="00A27896" w:rsidRDefault="00122639" w:rsidP="00210254">
                                      <w:pPr>
                                        <w:rPr>
                                          <w:lang w:val="it-IT"/>
                                        </w:rPr>
                                      </w:pPr>
                                      <w:r>
                                        <w:t>D’</w:t>
                                      </w:r>
                                    </w:p>
                                  </w:txbxContent>
                                </wps:txbx>
                                <wps:bodyPr rot="0" vert="horz" wrap="square" lIns="91440" tIns="45720" rIns="91440" bIns="45720" anchor="t" anchorCtr="0">
                                  <a:noAutofit/>
                                </wps:bodyPr>
                              </wps:wsp>
                              <wps:wsp>
                                <wps:cNvPr id="14" name="Casella di testo 2"/>
                                <wps:cNvSpPr txBox="1">
                                  <a:spLocks noChangeArrowheads="1"/>
                                </wps:cNvSpPr>
                                <wps:spPr bwMode="auto">
                                  <a:xfrm>
                                    <a:off x="1400175" y="0"/>
                                    <a:ext cx="571500" cy="352425"/>
                                  </a:xfrm>
                                  <a:prstGeom prst="rect">
                                    <a:avLst/>
                                  </a:prstGeom>
                                  <a:noFill/>
                                  <a:ln w="9525">
                                    <a:noFill/>
                                    <a:miter lim="800000"/>
                                    <a:headEnd/>
                                    <a:tailEnd/>
                                  </a:ln>
                                </wps:spPr>
                                <wps:txbx>
                                  <w:txbxContent>
                                    <w:p w:rsidR="00122639" w:rsidRPr="00A27896" w:rsidRDefault="00122639" w:rsidP="00210254">
                                      <w:pPr>
                                        <w:rPr>
                                          <w:lang w:val="it-IT"/>
                                        </w:rPr>
                                      </w:pPr>
                                      <w:r>
                                        <w:t>G</w:t>
                                      </w:r>
                                    </w:p>
                                  </w:txbxContent>
                                </wps:txbx>
                                <wps:bodyPr rot="0" vert="horz" wrap="square" lIns="91440" tIns="45720" rIns="91440" bIns="45720" anchor="t" anchorCtr="0">
                                  <a:noAutofit/>
                                </wps:bodyPr>
                              </wps:wsp>
                              <wps:wsp>
                                <wps:cNvPr id="15" name="Casella di testo 2"/>
                                <wps:cNvSpPr txBox="1">
                                  <a:spLocks noChangeArrowheads="1"/>
                                </wps:cNvSpPr>
                                <wps:spPr bwMode="auto">
                                  <a:xfrm>
                                    <a:off x="2781300" y="247650"/>
                                    <a:ext cx="571500" cy="352425"/>
                                  </a:xfrm>
                                  <a:prstGeom prst="rect">
                                    <a:avLst/>
                                  </a:prstGeom>
                                  <a:noFill/>
                                  <a:ln w="9525">
                                    <a:noFill/>
                                    <a:miter lim="800000"/>
                                    <a:headEnd/>
                                    <a:tailEnd/>
                                  </a:ln>
                                </wps:spPr>
                                <wps:txbx>
                                  <w:txbxContent>
                                    <w:p w:rsidR="00122639" w:rsidRPr="00A27896" w:rsidRDefault="00122639" w:rsidP="00210254">
                                      <w:pPr>
                                        <w:rPr>
                                          <w:lang w:val="it-IT"/>
                                        </w:rPr>
                                      </w:pPr>
                                      <w:r>
                                        <w:t>2D</w:t>
                                      </w:r>
                                    </w:p>
                                  </w:txbxContent>
                                </wps:txbx>
                                <wps:bodyPr rot="0" vert="horz" wrap="square" lIns="91440" tIns="45720" rIns="91440" bIns="45720" anchor="t" anchorCtr="0">
                                  <a:noAutofit/>
                                </wps:bodyPr>
                              </wps:wsp>
                              <wps:wsp>
                                <wps:cNvPr id="16" name="Casella di testo 2"/>
                                <wps:cNvSpPr txBox="1">
                                  <a:spLocks noChangeArrowheads="1"/>
                                </wps:cNvSpPr>
                                <wps:spPr bwMode="auto">
                                  <a:xfrm>
                                    <a:off x="1238250" y="2390775"/>
                                    <a:ext cx="2114550" cy="352425"/>
                                  </a:xfrm>
                                  <a:prstGeom prst="rect">
                                    <a:avLst/>
                                  </a:prstGeom>
                                  <a:noFill/>
                                  <a:ln w="9525">
                                    <a:noFill/>
                                    <a:miter lim="800000"/>
                                    <a:headEnd/>
                                    <a:tailEnd/>
                                  </a:ln>
                                </wps:spPr>
                                <wps:txbx>
                                  <w:txbxContent>
                                    <w:p w:rsidR="00122639" w:rsidRPr="00A27896" w:rsidRDefault="00122639" w:rsidP="00210254">
                                      <w:pPr>
                                        <w:rPr>
                                          <w:lang w:val="it-IT"/>
                                        </w:rPr>
                                      </w:pPr>
                                      <w:r w:rsidRPr="00A27896">
                                        <w:t>Raman shift (cm</w:t>
                                      </w:r>
                                      <w:r w:rsidRPr="00A27896">
                                        <w:rPr>
                                          <w:vertAlign w:val="superscript"/>
                                        </w:rPr>
                                        <w:t>-1</w:t>
                                      </w:r>
                                      <w:r w:rsidRPr="00A27896">
                                        <w:t>)</w:t>
                                      </w:r>
                                    </w:p>
                                  </w:txbxContent>
                                </wps:txbx>
                                <wps:bodyPr rot="0" vert="horz" wrap="square" lIns="91440" tIns="45720" rIns="91440" bIns="45720" anchor="t" anchorCtr="0">
                                  <a:noAutofit/>
                                </wps:bodyPr>
                              </wps:wsp>
                            </wpg:grpSp>
                            <wps:wsp>
                              <wps:cNvPr id="13" name="Connettore 2 13"/>
                              <wps:cNvCnPr/>
                              <wps:spPr>
                                <a:xfrm flipH="1">
                                  <a:off x="1771650" y="600075"/>
                                  <a:ext cx="200025" cy="1333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14A1F9A" id="Gruppo 18" o:spid="_x0000_s1035" style="position:absolute;left:0;text-align:left;margin-left:265.25pt;margin-top:511pt;width:227.8pt;height:180pt;z-index:251660288" coordsize="37528,27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">
                      <v:group id="Gruppo 17" o:spid="_x0000_s1036" style="position:absolute;width:37528;height:27432" coordsize="37528,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Immagine 2" o:spid="_x0000_s1037" type="#_x0000_t75" style="position:absolute;width:37528;height:24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" stroked="t" strokecolor="#4472c4 [3204]">
                          <v:imagedata r:id="rId24" o:title=""/>
                          <v:path arrowok="t"/>
                        </v:shape>
                        <v:shape id="Casella di testo 2" o:spid="_x0000_s1038" type="#_x0000_t202" style="position:absolute;left:12763;top:6000;width:5715;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rsidR="00122639" w:rsidRPr="00A27896" w:rsidRDefault="00122639" w:rsidP="00210254">
                                <w:pPr>
                                  <w:rPr>
                                    <w:lang w:val="it-IT"/>
                                  </w:rPr>
                                </w:pPr>
                                <w:r>
                                  <w:t>D</w:t>
                                </w:r>
                              </w:p>
                            </w:txbxContent>
                          </v:textbox>
                        </v:shape>
                        <v:shape id="Casella di testo 2" o:spid="_x0000_s1039" type="#_x0000_t202" style="position:absolute;left:19716;top:3810;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rsidR="00122639" w:rsidRPr="00A27896" w:rsidRDefault="00122639" w:rsidP="00210254">
                                <w:pPr>
                                  <w:rPr>
                                    <w:lang w:val="it-IT"/>
                                  </w:rPr>
                                </w:pPr>
                                <w:r>
                                  <w:t>D’</w:t>
                                </w:r>
                              </w:p>
                            </w:txbxContent>
                          </v:textbox>
                        </v:shape>
                        <v:shape id="Casella di testo 2" o:spid="_x0000_s1040" type="#_x0000_t202" style="position:absolute;left:14001;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rsidR="00122639" w:rsidRPr="00A27896" w:rsidRDefault="00122639" w:rsidP="00210254">
                                <w:pPr>
                                  <w:rPr>
                                    <w:lang w:val="it-IT"/>
                                  </w:rPr>
                                </w:pPr>
                                <w:r>
                                  <w:t>G</w:t>
                                </w:r>
                              </w:p>
                            </w:txbxContent>
                          </v:textbox>
                        </v:shape>
                        <v:shape id="Casella di testo 2" o:spid="_x0000_s1041" type="#_x0000_t202" style="position:absolute;left:27813;top:2476;width:571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rsidR="00122639" w:rsidRPr="00A27896" w:rsidRDefault="00122639" w:rsidP="00210254">
                                <w:pPr>
                                  <w:rPr>
                                    <w:lang w:val="it-IT"/>
                                  </w:rPr>
                                </w:pPr>
                                <w:r>
                                  <w:t>2D</w:t>
                                </w:r>
                              </w:p>
                            </w:txbxContent>
                          </v:textbox>
                        </v:shape>
                        <v:shape id="Casella di testo 2" o:spid="_x0000_s1042" type="#_x0000_t202" style="position:absolute;left:12382;top:23907;width:21146;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rsidR="00122639" w:rsidRPr="00A27896" w:rsidRDefault="00122639" w:rsidP="00210254">
                                <w:pPr>
                                  <w:rPr>
                                    <w:lang w:val="it-IT"/>
                                  </w:rPr>
                                </w:pPr>
                                <w:r w:rsidRPr="00A27896">
                                  <w:t>Raman shift (cm</w:t>
                                </w:r>
                                <w:r w:rsidRPr="00A27896">
                                  <w:rPr>
                                    <w:vertAlign w:val="superscript"/>
                                  </w:rPr>
                                  <w:t>-1</w:t>
                                </w:r>
                                <w:r w:rsidRPr="00A27896">
                                  <w:t>)</w:t>
                                </w:r>
                              </w:p>
                            </w:txbxContent>
                          </v:textbox>
                        </v:shape>
                      </v:group>
                      <v:shape id="Connettore 2 13" o:spid="_x0000_s1043" type="#_x0000_t32" style="position:absolute;left:17716;top:6000;width:2000;height:13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" strokecolor="black [3213]" strokeweight=".5pt">
                        <v:stroke endarrow="block" joinstyle="miter"/>
                      </v:shape>
                    </v:group>
                  </w:pict>
                </mc:Fallback>
              </mc:AlternateContent>
            </w:r>
          </w:p>
        </w:tc>
      </w:tr>
      <w:tr w:rsidR="002C1F91" w:rsidRPr="00196D5A" w:rsidTr="005F1D2E">
        <w:trPr>
          <w:jc w:val="center"/>
        </w:trPr>
        <w:tc>
          <w:tcPr>
            <w:tcW w:w="4057" w:type="dxa"/>
            <w:shd w:val="clear" w:color="auto" w:fill="auto"/>
            <w:vAlign w:val="center"/>
          </w:tcPr>
          <w:p w:rsidR="002C1F91" w:rsidRPr="00196D5A" w:rsidRDefault="002C1F91" w:rsidP="005F1D2E">
            <w:pPr>
              <w:pStyle w:val="MDPI42tablebody"/>
            </w:pPr>
            <w:r w:rsidRPr="00196D5A">
              <w:t>(</w:t>
            </w:r>
            <w:r w:rsidRPr="00EE3830">
              <w:rPr>
                <w:b/>
              </w:rPr>
              <w:t>a</w:t>
            </w:r>
            <w:r w:rsidRPr="00196D5A">
              <w:t>)</w:t>
            </w:r>
          </w:p>
        </w:tc>
        <w:tc>
          <w:tcPr>
            <w:tcW w:w="4268" w:type="dxa"/>
          </w:tcPr>
          <w:p w:rsidR="002C1F91" w:rsidRPr="00196D5A" w:rsidRDefault="002C1F91" w:rsidP="005F1D2E">
            <w:pPr>
              <w:pStyle w:val="MDPI42tablebody"/>
            </w:pPr>
          </w:p>
        </w:tc>
      </w:tr>
      <w:tr w:rsidR="00210254" w:rsidRPr="00196D5A" w:rsidTr="005F1D2E">
        <w:trPr>
          <w:jc w:val="center"/>
        </w:trPr>
        <w:tc>
          <w:tcPr>
            <w:tcW w:w="4057" w:type="dxa"/>
            <w:shd w:val="clear" w:color="auto" w:fill="auto"/>
            <w:vAlign w:val="center"/>
          </w:tcPr>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C1F91" w:rsidRDefault="002C1F91" w:rsidP="005F1D2E">
            <w:pPr>
              <w:pStyle w:val="MDPI42tablebody"/>
            </w:pPr>
          </w:p>
          <w:p w:rsidR="00210254" w:rsidRPr="00196D5A" w:rsidRDefault="00210254" w:rsidP="002C1F91">
            <w:pPr>
              <w:pStyle w:val="MDPI42tablebody"/>
              <w:jc w:val="both"/>
            </w:pPr>
          </w:p>
        </w:tc>
        <w:tc>
          <w:tcPr>
            <w:tcW w:w="4268" w:type="dxa"/>
          </w:tcPr>
          <w:p w:rsidR="00210254" w:rsidRPr="00196D5A" w:rsidRDefault="00210254" w:rsidP="00C94B18">
            <w:pPr>
              <w:pStyle w:val="MDPI42tablebody"/>
              <w:jc w:val="both"/>
            </w:pPr>
          </w:p>
        </w:tc>
      </w:tr>
      <w:tr w:rsidR="002C1F91" w:rsidRPr="002C1F91" w:rsidTr="002C1F91">
        <w:trPr>
          <w:jc w:val="center"/>
        </w:trPr>
        <w:tc>
          <w:tcPr>
            <w:tcW w:w="4057" w:type="dxa"/>
            <w:shd w:val="clear" w:color="auto" w:fill="auto"/>
            <w:vAlign w:val="center"/>
          </w:tcPr>
          <w:p w:rsidR="002C1F91" w:rsidRPr="002C1F91" w:rsidRDefault="002C1F91" w:rsidP="005F1D2E">
            <w:pPr>
              <w:pStyle w:val="MDPI42tablebody"/>
              <w:rPr>
                <w:b/>
              </w:rPr>
            </w:pPr>
            <w:r w:rsidRPr="002C1F91">
              <w:rPr>
                <w:b/>
              </w:rPr>
              <w:t>(a)</w:t>
            </w:r>
          </w:p>
        </w:tc>
        <w:tc>
          <w:tcPr>
            <w:tcW w:w="4268" w:type="dxa"/>
          </w:tcPr>
          <w:p w:rsidR="002C1F91" w:rsidRPr="002C1F91" w:rsidRDefault="002C1F91" w:rsidP="005F1D2E">
            <w:pPr>
              <w:pStyle w:val="MDPI42tablebody"/>
              <w:rPr>
                <w:b/>
              </w:rPr>
            </w:pPr>
            <w:r w:rsidRPr="002C1F91">
              <w:rPr>
                <w:b/>
              </w:rPr>
              <w:t>(b)</w:t>
            </w:r>
          </w:p>
        </w:tc>
      </w:tr>
    </w:tbl>
    <w:p w:rsidR="00210254" w:rsidRPr="00FA04F1" w:rsidRDefault="00210254" w:rsidP="00210254">
      <w:pPr>
        <w:pStyle w:val="MDPI51figurecaption"/>
      </w:pPr>
      <w:r w:rsidRPr="00F63A9B">
        <w:rPr>
          <w:b/>
        </w:rPr>
        <w:t xml:space="preserve">Figure </w:t>
      </w:r>
      <w:r w:rsidR="002C1F91">
        <w:rPr>
          <w:b/>
        </w:rPr>
        <w:t>1</w:t>
      </w:r>
      <w:r w:rsidRPr="00F63A9B">
        <w:rPr>
          <w:b/>
        </w:rPr>
        <w:t xml:space="preserve">. </w:t>
      </w:r>
      <w:r w:rsidRPr="00210254">
        <w:t>Structural characterization of the Graphene Nano-Platelets: (a) a SEM micrograph of a GNP flakes; (b) Raman spectroscopy results.</w:t>
      </w:r>
    </w:p>
    <w:p w:rsidR="00210254" w:rsidRDefault="00210254" w:rsidP="00567B5A">
      <w:pPr>
        <w:pStyle w:val="MDPI31text"/>
      </w:pPr>
    </w:p>
    <w:p w:rsidR="00210254" w:rsidRPr="00210254" w:rsidRDefault="00210254" w:rsidP="00210254">
      <w:pPr>
        <w:pStyle w:val="MDPI31text"/>
        <w:rPr>
          <w:lang w:val="en"/>
        </w:rPr>
      </w:pPr>
      <w:r w:rsidRPr="00210254">
        <w:rPr>
          <w:lang w:val="en"/>
        </w:rPr>
        <w:t xml:space="preserve">Structural characterization was carried out by means of Raman Spectroscopy, see Fig.1b. Specifically, the analysis of the 2D bands led to the determination of the number of layers of these GNPs, </w:t>
      </w:r>
      <w:r w:rsidRPr="00210254">
        <w:rPr>
          <w:i/>
          <w:lang w:val="en"/>
        </w:rPr>
        <w:t>N</w:t>
      </w:r>
      <w:r w:rsidRPr="00210254">
        <w:rPr>
          <w:i/>
          <w:vertAlign w:val="subscript"/>
          <w:lang w:val="en"/>
        </w:rPr>
        <w:t>G</w:t>
      </w:r>
      <w:r w:rsidRPr="00210254">
        <w:rPr>
          <w:lang w:val="en"/>
        </w:rPr>
        <w:t>, through the following relation [28]:</w:t>
      </w:r>
    </w:p>
    <w:p w:rsidR="00210254" w:rsidRDefault="00210254" w:rsidP="00210254">
      <w:pPr>
        <w:pStyle w:val="MDPI31text"/>
      </w:pP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210254" w:rsidRPr="001A7DD8" w:rsidTr="005F1D2E">
        <w:tc>
          <w:tcPr>
            <w:tcW w:w="7428" w:type="dxa"/>
          </w:tcPr>
          <w:p w:rsidR="00210254" w:rsidRPr="003030D2" w:rsidRDefault="00FB15C6" w:rsidP="005F1D2E">
            <w:pPr>
              <w:pStyle w:val="MDPI39equation"/>
            </w:pPr>
            <m:oMath>
              <m:sSub>
                <m:sSubPr>
                  <m:ctrlPr>
                    <w:rPr>
                      <w:rFonts w:ascii="Cambria Math" w:hAnsi="Cambria Math"/>
                      <w:i/>
                    </w:rPr>
                  </m:ctrlPr>
                </m:sSubPr>
                <m:e>
                  <m:r>
                    <w:rPr>
                      <w:rFonts w:ascii="Cambria Math" w:hAnsi="Cambria Math"/>
                    </w:rPr>
                    <m:t>N</m:t>
                  </m:r>
                </m:e>
                <m:sub>
                  <m:r>
                    <w:rPr>
                      <w:rFonts w:ascii="Cambria Math" w:hAnsi="Cambria Math"/>
                    </w:rPr>
                    <m:t>G</m:t>
                  </m:r>
                </m:sub>
              </m:sSub>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0.84M+0.45</m:t>
                  </m:r>
                  <m:sSup>
                    <m:sSupPr>
                      <m:ctrlPr>
                        <w:rPr>
                          <w:rFonts w:ascii="Cambria Math" w:hAnsi="Cambria Math"/>
                          <w:i/>
                        </w:rPr>
                      </m:ctrlPr>
                    </m:sSupPr>
                    <m:e>
                      <m:r>
                        <w:rPr>
                          <w:rFonts w:ascii="Cambria Math" w:hAnsi="Cambria Math"/>
                        </w:rPr>
                        <m:t>M</m:t>
                      </m:r>
                    </m:e>
                    <m:sup>
                      <m:r>
                        <w:rPr>
                          <w:rFonts w:ascii="Cambria Math" w:hAnsi="Cambria Math"/>
                        </w:rPr>
                        <m:t>2</m:t>
                      </m:r>
                    </m:sup>
                  </m:sSup>
                </m:sup>
              </m:sSup>
            </m:oMath>
            <w:r w:rsidR="00210254" w:rsidRPr="002E316D">
              <w:rPr>
                <w:rFonts w:ascii="Times New Roman" w:hAnsi="Times New Roman"/>
              </w:rPr>
              <w:t xml:space="preserve"> ,       </w:t>
            </w:r>
            <m:oMath>
              <m:r>
                <w:rPr>
                  <w:rFonts w:ascii="Cambria Math" w:hAnsi="Cambria Math"/>
                </w:rPr>
                <m:t xml:space="preserve">M= </m:t>
              </m:r>
              <m:f>
                <m:fPr>
                  <m:ctrlPr>
                    <w:rPr>
                      <w:rFonts w:ascii="Cambria Math" w:hAnsi="Cambria Math"/>
                    </w:rPr>
                  </m:ctrlPr>
                </m:fPr>
                <m:num>
                  <m:sSub>
                    <m:sSubPr>
                      <m:ctrlPr>
                        <w:rPr>
                          <w:rFonts w:ascii="Cambria Math" w:hAnsi="Cambria Math"/>
                        </w:rPr>
                      </m:ctrlPr>
                    </m:sSubPr>
                    <m:e>
                      <m:r>
                        <w:rPr>
                          <w:rFonts w:ascii="Cambria Math" w:hAnsi="Cambria Math"/>
                        </w:rPr>
                        <m:t>I</m:t>
                      </m:r>
                    </m:e>
                    <m:sub>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ene</m:t>
                      </m:r>
                    </m:sub>
                  </m:sSub>
                  <m:r>
                    <m:rPr>
                      <m:sty m:val="p"/>
                    </m:rPr>
                    <w:rPr>
                      <w:rFonts w:ascii="Cambria Math" w:hAnsi="Cambria Math"/>
                    </w:rPr>
                    <m:t>(w=</m:t>
                  </m:r>
                  <m:sSub>
                    <m:sSubPr>
                      <m:ctrlPr>
                        <w:rPr>
                          <w:rFonts w:ascii="Cambria Math" w:hAnsi="Cambria Math"/>
                        </w:rPr>
                      </m:ctrlPr>
                    </m:sSubPr>
                    <m:e>
                      <m:r>
                        <w:rPr>
                          <w:rFonts w:ascii="Cambria Math" w:hAnsi="Cambria Math"/>
                        </w:rPr>
                        <m:t>w</m:t>
                      </m:r>
                    </m:e>
                    <m:sub>
                      <m:r>
                        <w:rPr>
                          <w:rFonts w:ascii="Cambria Math" w:hAnsi="Cambria Math"/>
                        </w:rPr>
                        <m:t>p,</m:t>
                      </m:r>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m:t>
                  </m:r>
                  <m:sSub>
                    <m:sSubPr>
                      <m:ctrlPr>
                        <w:rPr>
                          <w:rFonts w:ascii="Cambria Math" w:hAnsi="Cambria Math"/>
                        </w:rPr>
                      </m:ctrlPr>
                    </m:sSubPr>
                    <m:e>
                      <m:r>
                        <w:rPr>
                          <w:rFonts w:ascii="Cambria Math" w:hAnsi="Cambria Math"/>
                        </w:rPr>
                        <m:t>I</m:t>
                      </m:r>
                    </m:e>
                    <m:sub>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ene</m:t>
                      </m:r>
                    </m:sub>
                  </m:sSub>
                  <m:r>
                    <m:rPr>
                      <m:sty m:val="p"/>
                    </m:rPr>
                    <w:rPr>
                      <w:rFonts w:ascii="Cambria Math" w:hAnsi="Cambria Math"/>
                    </w:rPr>
                    <m:t>(w=</m:t>
                  </m:r>
                  <m:sSub>
                    <m:sSubPr>
                      <m:ctrlPr>
                        <w:rPr>
                          <w:rFonts w:ascii="Cambria Math" w:hAnsi="Cambria Math"/>
                        </w:rPr>
                      </m:ctrlPr>
                    </m:sSubPr>
                    <m:e>
                      <m:r>
                        <w:rPr>
                          <w:rFonts w:ascii="Cambria Math" w:hAnsi="Cambria Math"/>
                        </w:rPr>
                        <m:t>w</m:t>
                      </m:r>
                    </m:e>
                    <m:sub>
                      <m:r>
                        <w:rPr>
                          <w:rFonts w:ascii="Cambria Math" w:hAnsi="Cambria Math"/>
                        </w:rPr>
                        <m:t>s,</m:t>
                      </m:r>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m:t>
                  </m:r>
                </m:num>
                <m:den>
                  <m:sSub>
                    <m:sSubPr>
                      <m:ctrlPr>
                        <w:rPr>
                          <w:rFonts w:ascii="Cambria Math" w:hAnsi="Cambria Math"/>
                        </w:rPr>
                      </m:ctrlPr>
                    </m:sSubPr>
                    <m:e>
                      <m:r>
                        <w:rPr>
                          <w:rFonts w:ascii="Cambria Math" w:hAnsi="Cambria Math"/>
                        </w:rPr>
                        <m:t>I</m:t>
                      </m:r>
                    </m:e>
                    <m:sub>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(w=</m:t>
                  </m:r>
                  <m:sSub>
                    <m:sSubPr>
                      <m:ctrlPr>
                        <w:rPr>
                          <w:rFonts w:ascii="Cambria Math" w:hAnsi="Cambria Math"/>
                        </w:rPr>
                      </m:ctrlPr>
                    </m:sSubPr>
                    <m:e>
                      <m:r>
                        <w:rPr>
                          <w:rFonts w:ascii="Cambria Math" w:hAnsi="Cambria Math"/>
                        </w:rPr>
                        <m:t>w</m:t>
                      </m:r>
                    </m:e>
                    <m:sub>
                      <m:r>
                        <w:rPr>
                          <w:rFonts w:ascii="Cambria Math" w:hAnsi="Cambria Math"/>
                        </w:rPr>
                        <m:t>p,</m:t>
                      </m:r>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m:t>
                  </m:r>
                  <m:sSub>
                    <m:sSubPr>
                      <m:ctrlPr>
                        <w:rPr>
                          <w:rFonts w:ascii="Cambria Math" w:hAnsi="Cambria Math"/>
                        </w:rPr>
                      </m:ctrlPr>
                    </m:sSubPr>
                    <m:e>
                      <m:r>
                        <w:rPr>
                          <w:rFonts w:ascii="Cambria Math" w:hAnsi="Cambria Math"/>
                        </w:rPr>
                        <m:t>I</m:t>
                      </m:r>
                    </m:e>
                    <m:sub>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(w=</m:t>
                  </m:r>
                  <m:sSub>
                    <m:sSubPr>
                      <m:ctrlPr>
                        <w:rPr>
                          <w:rFonts w:ascii="Cambria Math" w:hAnsi="Cambria Math"/>
                        </w:rPr>
                      </m:ctrlPr>
                    </m:sSubPr>
                    <m:e>
                      <m:r>
                        <w:rPr>
                          <w:rFonts w:ascii="Cambria Math" w:hAnsi="Cambria Math"/>
                        </w:rPr>
                        <m:t>w</m:t>
                      </m:r>
                    </m:e>
                    <m:sub>
                      <m:r>
                        <w:rPr>
                          <w:rFonts w:ascii="Cambria Math" w:hAnsi="Cambria Math"/>
                        </w:rPr>
                        <m:t>s,</m:t>
                      </m:r>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ite</m:t>
                      </m:r>
                    </m:sub>
                  </m:sSub>
                  <m:r>
                    <m:rPr>
                      <m:sty m:val="p"/>
                    </m:rPr>
                    <w:rPr>
                      <w:rFonts w:ascii="Cambria Math" w:hAnsi="Cambria Math"/>
                    </w:rPr>
                    <m:t>)</m:t>
                  </m:r>
                </m:den>
              </m:f>
            </m:oMath>
            <w:r w:rsidR="00210254" w:rsidRPr="003030D2">
              <w:t>,</w:t>
            </w:r>
          </w:p>
        </w:tc>
        <w:tc>
          <w:tcPr>
            <w:tcW w:w="431" w:type="dxa"/>
            <w:vAlign w:val="center"/>
          </w:tcPr>
          <w:p w:rsidR="00210254" w:rsidRPr="003030D2" w:rsidRDefault="00210254" w:rsidP="005F1D2E">
            <w:pPr>
              <w:pStyle w:val="MDPI3aequationnumber"/>
              <w:spacing w:line="260" w:lineRule="atLeast"/>
            </w:pPr>
            <w:r w:rsidRPr="003030D2">
              <w:t>(1)</w:t>
            </w:r>
          </w:p>
        </w:tc>
      </w:tr>
    </w:tbl>
    <w:p w:rsidR="00210254" w:rsidRDefault="00210254" w:rsidP="00210254">
      <w:pPr>
        <w:pStyle w:val="MDPI31text"/>
        <w:ind w:firstLine="0"/>
      </w:pPr>
      <w:r w:rsidRPr="00210254">
        <w:t xml:space="preserve">where </w:t>
      </w:r>
      <m:oMath>
        <m:sSub>
          <m:sSubPr>
            <m:ctrlPr>
              <w:rPr>
                <w:rFonts w:ascii="Cambria Math" w:hAnsi="Cambria Math"/>
                <w:sz w:val="22"/>
              </w:rPr>
            </m:ctrlPr>
          </m:sSubPr>
          <m:e>
            <m:r>
              <w:rPr>
                <w:rFonts w:ascii="Cambria Math" w:hAnsi="Cambria Math"/>
                <w:sz w:val="22"/>
              </w:rPr>
              <m:t>I</m:t>
            </m:r>
          </m:e>
          <m:sub>
            <m:sSup>
              <m:sSupPr>
                <m:ctrlPr>
                  <w:rPr>
                    <w:rFonts w:ascii="Cambria Math" w:hAnsi="Cambria Math"/>
                    <w:i/>
                    <w:sz w:val="22"/>
                  </w:rPr>
                </m:ctrlPr>
              </m:sSupPr>
              <m:e>
                <m:r>
                  <w:rPr>
                    <w:rFonts w:ascii="Cambria Math" w:hAnsi="Cambria Math"/>
                    <w:sz w:val="22"/>
                  </w:rPr>
                  <m:t>G</m:t>
                </m:r>
              </m:e>
              <m:sup>
                <m:r>
                  <w:rPr>
                    <w:rFonts w:ascii="Cambria Math" w:hAnsi="Cambria Math"/>
                    <w:sz w:val="22"/>
                  </w:rPr>
                  <m:t>'</m:t>
                </m:r>
              </m:sup>
            </m:sSup>
            <m:r>
              <w:rPr>
                <w:rFonts w:ascii="Cambria Math" w:hAnsi="Cambria Math"/>
                <w:sz w:val="22"/>
              </w:rPr>
              <m:t>ene</m:t>
            </m:r>
          </m:sub>
        </m:sSub>
      </m:oMath>
      <w:r w:rsidRPr="00385F65">
        <w:rPr>
          <w:rFonts w:ascii="Times New Roman" w:hAnsi="Times New Roman"/>
          <w:sz w:val="22"/>
        </w:rPr>
        <w:t xml:space="preserve"> </w:t>
      </w:r>
      <w:r w:rsidRPr="00210254">
        <w:t>and</w:t>
      </w:r>
      <w:r w:rsidRPr="00385F65">
        <w:rPr>
          <w:rFonts w:ascii="Times New Roman" w:hAnsi="Times New Roman"/>
          <w:sz w:val="22"/>
        </w:rPr>
        <w:t xml:space="preserve"> </w:t>
      </w:r>
      <m:oMath>
        <m:sSub>
          <m:sSubPr>
            <m:ctrlPr>
              <w:rPr>
                <w:rFonts w:ascii="Cambria Math" w:hAnsi="Cambria Math"/>
                <w:sz w:val="22"/>
              </w:rPr>
            </m:ctrlPr>
          </m:sSubPr>
          <m:e>
            <m:r>
              <w:rPr>
                <w:rFonts w:ascii="Cambria Math" w:hAnsi="Cambria Math"/>
                <w:sz w:val="22"/>
              </w:rPr>
              <m:t>I</m:t>
            </m:r>
          </m:e>
          <m:sub>
            <m:sSup>
              <m:sSupPr>
                <m:ctrlPr>
                  <w:rPr>
                    <w:rFonts w:ascii="Cambria Math" w:hAnsi="Cambria Math"/>
                    <w:i/>
                    <w:sz w:val="22"/>
                  </w:rPr>
                </m:ctrlPr>
              </m:sSupPr>
              <m:e>
                <m:r>
                  <w:rPr>
                    <w:rFonts w:ascii="Cambria Math" w:hAnsi="Cambria Math"/>
                    <w:sz w:val="22"/>
                  </w:rPr>
                  <m:t>G</m:t>
                </m:r>
              </m:e>
              <m:sup>
                <m:r>
                  <w:rPr>
                    <w:rFonts w:ascii="Cambria Math" w:hAnsi="Cambria Math"/>
                    <w:sz w:val="22"/>
                  </w:rPr>
                  <m:t>'</m:t>
                </m:r>
              </m:sup>
            </m:sSup>
            <m:r>
              <w:rPr>
                <w:rFonts w:ascii="Cambria Math" w:hAnsi="Cambria Math"/>
                <w:sz w:val="22"/>
              </w:rPr>
              <m:t>ite</m:t>
            </m:r>
          </m:sub>
        </m:sSub>
      </m:oMath>
      <w:r>
        <w:rPr>
          <w:rFonts w:ascii="Times New Roman" w:hAnsi="Times New Roman"/>
          <w:sz w:val="22"/>
        </w:rPr>
        <w:t xml:space="preserve"> </w:t>
      </w:r>
      <w:r w:rsidRPr="00210254">
        <w:t>are the Raman intensities of graphene and graphite, respe</w:t>
      </w:r>
      <w:r w:rsidRPr="00210254">
        <w:t>c</w:t>
      </w:r>
      <w:r w:rsidRPr="00210254">
        <w:t xml:space="preserve">tively. The estimated number of layers was N_G=5±1.5. From the analysis of the peaks D </w:t>
      </w:r>
      <w:r w:rsidRPr="00210254">
        <w:lastRenderedPageBreak/>
        <w:t>and D’ a good quality and low-density defects on GNP was observed, being the ID/ID’ ratio equal to 3.9±0.1. Finally, the value of ID/IG of about 0.05 revealed a mean distance between defects over 35nm, thus indicating a low density of defects. Finally, an Infra-red (IR) analysis confirmed that the proposed fabrication procedure did not introduce si</w:t>
      </w:r>
      <w:r w:rsidRPr="00210254">
        <w:t>g</w:t>
      </w:r>
      <w:r w:rsidRPr="00210254">
        <w:t>nificant oxidation, thus preserving the conductive properties.</w:t>
      </w:r>
    </w:p>
    <w:p w:rsidR="00210254" w:rsidRDefault="00210254" w:rsidP="00567B5A">
      <w:pPr>
        <w:pStyle w:val="MDPI31text"/>
      </w:pPr>
    </w:p>
    <w:p w:rsidR="00210254" w:rsidRDefault="002C1F91" w:rsidP="00567B5A">
      <w:pPr>
        <w:pStyle w:val="MDPI31text"/>
      </w:pPr>
      <w:r w:rsidRPr="002C1F91">
        <w:t xml:space="preserve">The CNT films were fabricated from commercial MWNTs and SWNTs via a vacuum filtration technique. Briefly, 0.1 mg of the CNT material was suspended in 10 mL of an aqueous solution containing 1 </w:t>
      </w:r>
      <w:proofErr w:type="spellStart"/>
      <w:r w:rsidRPr="002C1F91">
        <w:t>wt</w:t>
      </w:r>
      <w:proofErr w:type="spellEnd"/>
      <w:r w:rsidRPr="002C1F91">
        <w:t>% of sodium dodecyl sulfate (SDS) by ultrasonication treatment (44 kHz) for 1 h. Then, the suspension was centrifuged at 8000g for 20 min. After centrifugation, the supernatant was filtered with a cellulose-ester membrane (Mi</w:t>
      </w:r>
      <w:r w:rsidRPr="002C1F91">
        <w:t>l</w:t>
      </w:r>
      <w:r w:rsidRPr="002C1F91">
        <w:t>lipore, 0.22 µm pore size) by using a vacuum cell. During the filtration process, the CNTs accumulated onto the membrane filter surface forming a homogeneous film. The surfa</w:t>
      </w:r>
      <w:r w:rsidRPr="002C1F91">
        <w:t>c</w:t>
      </w:r>
      <w:r w:rsidRPr="002C1F91">
        <w:t>tant was partly washed away with 200 mL of distilled water at a temperature of 60 °C. The hot water helped to remove surfactant from the tube surface. Then the filter was dissolved in acetone, which is used also to wash the CNT films. The acetone was subst</w:t>
      </w:r>
      <w:r w:rsidRPr="002C1F91">
        <w:t>i</w:t>
      </w:r>
      <w:r w:rsidRPr="002C1F91">
        <w:t xml:space="preserve">tuted by ethanol, and CNT film was transferred to the working electrodes (WE) of SPEs. The GNP-modified SPEs were prepared as follows. Initially, screen-printed electrodes were pretreated </w:t>
      </w:r>
      <w:proofErr w:type="spellStart"/>
      <w:r w:rsidRPr="002C1F91">
        <w:t>amperometrically</w:t>
      </w:r>
      <w:proofErr w:type="spellEnd"/>
      <w:r w:rsidRPr="002C1F91">
        <w:t xml:space="preserve"> (1.7 V, 180 s) using a 0.05M phosphate buffer + 0.1MKCl, pH 7. After that, the electrodes were rinsed with distilled water (to remove salt residues) before modifying those using GNPs (a suspension of 1 mg/mL of powder in a 1:2 ethanol-water). An ultrasonic transducer (200 W, 26 kHz and 30 min) was used to homogenize the suspension. The working electrodes (WE) were modified by drop-casting with 6 </w:t>
      </w:r>
      <w:proofErr w:type="spellStart"/>
      <w:r w:rsidRPr="002C1F91">
        <w:t>μL</w:t>
      </w:r>
      <w:proofErr w:type="spellEnd"/>
      <w:r w:rsidRPr="002C1F91">
        <w:t xml:space="preserve"> of CNMs dispersions. Once dried at room temperature, the GNPs-SPEs were ready to use. A schematic representation of CNTs film and GNP-based sensors are reported in Figure 2.</w:t>
      </w:r>
    </w:p>
    <w:p w:rsidR="00FA7323" w:rsidRDefault="00FA7323" w:rsidP="00567B5A">
      <w:pPr>
        <w:pStyle w:val="MDPI31text"/>
      </w:pPr>
    </w:p>
    <w:p w:rsidR="00FA7323" w:rsidRDefault="00FA7323" w:rsidP="00FA7323">
      <w:pPr>
        <w:pStyle w:val="MDPI31text"/>
        <w:ind w:hanging="1332"/>
      </w:pPr>
      <w:r>
        <w:rPr>
          <w:rFonts w:ascii="Times New Roman" w:hAnsi="Times New Roman"/>
          <w:noProof/>
          <w:sz w:val="22"/>
          <w:lang w:val="it-IT" w:eastAsia="it-IT" w:bidi="ar-SA"/>
        </w:rPr>
        <w:drawing>
          <wp:inline distT="0" distB="0" distL="0" distR="0" wp14:anchorId="2DF426B1" wp14:editId="0A7D0FA6">
            <wp:extent cx="4659630" cy="2150086"/>
            <wp:effectExtent l="0" t="0" r="7620" b="3175"/>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ematic.tif"/>
                    <pic:cNvPicPr/>
                  </pic:nvPicPr>
                  <pic:blipFill rotWithShape="1">
                    <a:blip r:embed="rId25" cstate="print">
                      <a:extLst>
                        <a:ext uri="{28A0092B-C50C-407E-A947-70E740481C1C}">
                          <a14:useLocalDpi xmlns:a14="http://schemas.microsoft.com/office/drawing/2010/main" val="0"/>
                        </a:ext>
                      </a:extLst>
                    </a:blip>
                    <a:srcRect l="2052" t="10256" r="8206" b="16126"/>
                    <a:stretch/>
                  </pic:blipFill>
                  <pic:spPr bwMode="auto">
                    <a:xfrm>
                      <a:off x="0" y="0"/>
                      <a:ext cx="4703138" cy="2170162"/>
                    </a:xfrm>
                    <a:prstGeom prst="rect">
                      <a:avLst/>
                    </a:prstGeom>
                    <a:ln>
                      <a:noFill/>
                    </a:ln>
                    <a:extLst>
                      <a:ext uri="{53640926-AAD7-44D8-BBD7-CCE9431645EC}">
                        <a14:shadowObscured xmlns:a14="http://schemas.microsoft.com/office/drawing/2010/main"/>
                      </a:ext>
                    </a:extLst>
                  </pic:spPr>
                </pic:pic>
              </a:graphicData>
            </a:graphic>
          </wp:inline>
        </w:drawing>
      </w:r>
    </w:p>
    <w:p w:rsidR="002C1F91" w:rsidRPr="00FA04F1" w:rsidRDefault="002C1F91" w:rsidP="002C1F91">
      <w:pPr>
        <w:pStyle w:val="MDPI51figurecaption"/>
      </w:pPr>
      <w:r w:rsidRPr="00F63A9B">
        <w:rPr>
          <w:b/>
        </w:rPr>
        <w:t xml:space="preserve">Figure 2. </w:t>
      </w:r>
      <w:r w:rsidRPr="002C1F91">
        <w:t>Schematic representation of Nano-engineered-SPE. a) Classical drop-casting of WE su</w:t>
      </w:r>
      <w:r w:rsidRPr="002C1F91">
        <w:t>r</w:t>
      </w:r>
      <w:r w:rsidRPr="002C1F91">
        <w:t>face using a dispersion of GNP, b) innovative deposition of CNTs-based films.</w:t>
      </w:r>
      <w:r w:rsidRPr="002C1F91">
        <w:rPr>
          <w:rFonts w:ascii="Times New Roman" w:hAnsi="Times New Roman"/>
          <w:noProof/>
          <w:sz w:val="22"/>
          <w:szCs w:val="22"/>
          <w:lang w:eastAsia="it-IT"/>
        </w:rPr>
        <w:t xml:space="preserve"> </w:t>
      </w:r>
    </w:p>
    <w:p w:rsidR="00210254" w:rsidRDefault="002C1F91" w:rsidP="00567B5A">
      <w:pPr>
        <w:pStyle w:val="MDPI31text"/>
      </w:pPr>
      <w:r w:rsidRPr="002C1F91">
        <w:t>From a structural characterization, film thickness for both SWNTs and MWNTs was estimated as 200 and 1000 nm, respectively. A SEM characterization of the obtained films showed no visible surfactant on the surface of the MWCNTs, see Fig. 3a. Visually, the density of SWCNT film is higher than that of MWNT film. This could explain why the MWNT film was better washed from the surfactant than the SWNT film. In addition, the Raman spectra of MWNTs and SWNTs have been studied (see Fig. 3b). The ratio of the intensity of the D-mode to that of the G-mode for the MWNTs is high (0.87) indicating the defective nature of their crystalline structure. This ratio is low (0.08) for SWNTs indica</w:t>
      </w:r>
      <w:r w:rsidRPr="002C1F91">
        <w:t>t</w:t>
      </w:r>
      <w:r w:rsidRPr="002C1F91">
        <w:t>ing the low quantity of sidewall defects in them.</w:t>
      </w:r>
    </w:p>
    <w:p w:rsidR="002C1F91" w:rsidRDefault="002C1F91" w:rsidP="00567B5A">
      <w:pPr>
        <w:pStyle w:val="MDPI31text"/>
      </w:pPr>
    </w:p>
    <w:p w:rsidR="002C1F91" w:rsidRDefault="002C1F91" w:rsidP="00567B5A">
      <w:pPr>
        <w:pStyle w:val="MDPI31text"/>
      </w:pPr>
    </w:p>
    <w:tbl>
      <w:tblPr>
        <w:tblW w:w="0" w:type="auto"/>
        <w:jc w:val="center"/>
        <w:tblLook w:val="0000" w:firstRow="0" w:lastRow="0" w:firstColumn="0" w:lastColumn="0" w:noHBand="0" w:noVBand="0"/>
      </w:tblPr>
      <w:tblGrid>
        <w:gridCol w:w="4057"/>
        <w:gridCol w:w="4268"/>
      </w:tblGrid>
      <w:tr w:rsidR="002C1F91" w:rsidRPr="00196D5A" w:rsidTr="005F1D2E">
        <w:trPr>
          <w:jc w:val="center"/>
        </w:trPr>
        <w:tc>
          <w:tcPr>
            <w:tcW w:w="4057" w:type="dxa"/>
            <w:shd w:val="clear" w:color="auto" w:fill="auto"/>
            <w:vAlign w:val="center"/>
          </w:tcPr>
          <w:p w:rsidR="0089278D" w:rsidRDefault="0089278D" w:rsidP="005F1D2E">
            <w:pPr>
              <w:pStyle w:val="MDPI52figure"/>
              <w:spacing w:before="0"/>
              <w:rPr>
                <w:noProof/>
              </w:rPr>
            </w:pPr>
          </w:p>
          <w:p w:rsidR="002C1F91" w:rsidRPr="00196D5A" w:rsidRDefault="002C1F91" w:rsidP="005F1D2E">
            <w:pPr>
              <w:pStyle w:val="MDPI52figure"/>
              <w:spacing w:before="0"/>
            </w:pPr>
            <w:r w:rsidRPr="00196D5A">
              <w:rPr>
                <w:noProof/>
                <w:lang w:val="it-IT" w:eastAsia="it-IT" w:bidi="ar-SA"/>
              </w:rPr>
              <w:drawing>
                <wp:inline distT="0" distB="0" distL="0" distR="0" wp14:anchorId="1343991C" wp14:editId="23557016">
                  <wp:extent cx="2161540" cy="2161540"/>
                  <wp:effectExtent l="0" t="0" r="0" b="0"/>
                  <wp:docPr id="28" name="Picture 1" descr="C:\Users\martin\Downloads\testFigur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in\Downloads\testFigure.t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61540" cy="2161540"/>
                          </a:xfrm>
                          <a:prstGeom prst="rect">
                            <a:avLst/>
                          </a:prstGeom>
                          <a:solidFill>
                            <a:srgbClr val="FFFFFF"/>
                          </a:solidFill>
                          <a:ln>
                            <a:noFill/>
                          </a:ln>
                        </pic:spPr>
                      </pic:pic>
                    </a:graphicData>
                  </a:graphic>
                </wp:inline>
              </w:drawing>
            </w:r>
          </w:p>
        </w:tc>
        <w:tc>
          <w:tcPr>
            <w:tcW w:w="4268" w:type="dxa"/>
          </w:tcPr>
          <w:p w:rsidR="002C1F91" w:rsidRDefault="0089278D" w:rsidP="005F1D2E">
            <w:pPr>
              <w:pStyle w:val="MDPI52figure"/>
              <w:spacing w:before="0"/>
            </w:pPr>
            <w:r w:rsidRPr="002E316D">
              <w:rPr>
                <w:rFonts w:ascii="Times New Roman" w:hAnsi="Times New Roman"/>
                <w:b/>
                <w:noProof/>
                <w:sz w:val="22"/>
                <w:szCs w:val="22"/>
                <w:lang w:val="it-IT" w:eastAsia="it-IT" w:bidi="ar-SA"/>
              </w:rPr>
              <w:drawing>
                <wp:anchor distT="0" distB="0" distL="114300" distR="114300" simplePos="0" relativeHeight="251664384" behindDoc="0" locked="0" layoutInCell="1" allowOverlap="1" wp14:anchorId="41DBE63C">
                  <wp:simplePos x="0" y="0"/>
                  <wp:positionH relativeFrom="column">
                    <wp:posOffset>-2439036</wp:posOffset>
                  </wp:positionH>
                  <wp:positionV relativeFrom="paragraph">
                    <wp:posOffset>-114935</wp:posOffset>
                  </wp:positionV>
                  <wp:extent cx="5005669" cy="2597150"/>
                  <wp:effectExtent l="0" t="0" r="5080" b="0"/>
                  <wp:wrapNone/>
                  <wp:docPr id="3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jpg"/>
                          <pic:cNvPicPr/>
                        </pic:nvPicPr>
                        <pic:blipFill rotWithShape="1">
                          <a:blip r:embed="rId27" cstate="print">
                            <a:extLst>
                              <a:ext uri="{28A0092B-C50C-407E-A947-70E740481C1C}">
                                <a14:useLocalDpi xmlns:a14="http://schemas.microsoft.com/office/drawing/2010/main" val="0"/>
                              </a:ext>
                            </a:extLst>
                          </a:blip>
                          <a:srcRect t="5763"/>
                          <a:stretch/>
                        </pic:blipFill>
                        <pic:spPr bwMode="auto">
                          <a:xfrm>
                            <a:off x="0" y="0"/>
                            <a:ext cx="5021585" cy="260540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C1F91" w:rsidRPr="00196D5A">
              <w:rPr>
                <w:noProof/>
                <w:lang w:val="it-IT" w:eastAsia="it-IT" w:bidi="ar-SA"/>
              </w:rPr>
              <w:drawing>
                <wp:inline distT="0" distB="0" distL="0" distR="0" wp14:anchorId="1FB9B637" wp14:editId="329014A1">
                  <wp:extent cx="2161540" cy="2161540"/>
                  <wp:effectExtent l="0" t="0" r="0" b="0"/>
                  <wp:docPr id="29" name="Picture 1" descr="C:\Users\martin\Downloads\testFigur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in\Downloads\testFigure.t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61540" cy="2161540"/>
                          </a:xfrm>
                          <a:prstGeom prst="rect">
                            <a:avLst/>
                          </a:prstGeom>
                          <a:solidFill>
                            <a:srgbClr val="FFFFFF"/>
                          </a:solidFill>
                          <a:ln>
                            <a:noFill/>
                          </a:ln>
                        </pic:spPr>
                      </pic:pic>
                    </a:graphicData>
                  </a:graphic>
                </wp:inline>
              </w:drawing>
            </w:r>
          </w:p>
          <w:p w:rsidR="002C1F91" w:rsidRPr="00196D5A" w:rsidRDefault="002C1F91" w:rsidP="005F1D2E">
            <w:pPr>
              <w:pStyle w:val="MDPI52figure"/>
              <w:spacing w:before="0"/>
            </w:pPr>
          </w:p>
        </w:tc>
      </w:tr>
      <w:tr w:rsidR="002C1F91" w:rsidRPr="00196D5A" w:rsidTr="005F1D2E">
        <w:trPr>
          <w:jc w:val="center"/>
        </w:trPr>
        <w:tc>
          <w:tcPr>
            <w:tcW w:w="4057" w:type="dxa"/>
            <w:shd w:val="clear" w:color="auto" w:fill="auto"/>
            <w:vAlign w:val="center"/>
          </w:tcPr>
          <w:p w:rsidR="0089278D" w:rsidRDefault="0089278D" w:rsidP="005F1D2E">
            <w:pPr>
              <w:pStyle w:val="MDPI42tablebody"/>
            </w:pPr>
          </w:p>
          <w:p w:rsidR="002C1F91" w:rsidRPr="00196D5A" w:rsidRDefault="002C1F91" w:rsidP="005F1D2E">
            <w:pPr>
              <w:pStyle w:val="MDPI42tablebody"/>
            </w:pPr>
            <w:r w:rsidRPr="00196D5A">
              <w:t>(</w:t>
            </w:r>
            <w:r w:rsidRPr="00EE3830">
              <w:rPr>
                <w:b/>
              </w:rPr>
              <w:t>a</w:t>
            </w:r>
            <w:r w:rsidRPr="00196D5A">
              <w:t>)</w:t>
            </w:r>
          </w:p>
        </w:tc>
        <w:tc>
          <w:tcPr>
            <w:tcW w:w="4268" w:type="dxa"/>
          </w:tcPr>
          <w:p w:rsidR="0089278D" w:rsidRDefault="0089278D" w:rsidP="005F1D2E">
            <w:pPr>
              <w:pStyle w:val="MDPI42tablebody"/>
            </w:pPr>
          </w:p>
          <w:p w:rsidR="002C1F91" w:rsidRPr="00196D5A" w:rsidRDefault="002C1F91" w:rsidP="005F1D2E">
            <w:pPr>
              <w:pStyle w:val="MDPI42tablebody"/>
            </w:pPr>
            <w:r w:rsidRPr="00196D5A">
              <w:t>(</w:t>
            </w:r>
            <w:r w:rsidRPr="00EE3830">
              <w:rPr>
                <w:b/>
              </w:rPr>
              <w:t>b</w:t>
            </w:r>
            <w:r w:rsidRPr="00196D5A">
              <w:t>)</w:t>
            </w:r>
          </w:p>
        </w:tc>
      </w:tr>
    </w:tbl>
    <w:p w:rsidR="002C1F91" w:rsidRDefault="002C1F91" w:rsidP="002C1F91">
      <w:pPr>
        <w:pStyle w:val="MDPI51figurecaption"/>
      </w:pPr>
      <w:r w:rsidRPr="00F63A9B">
        <w:rPr>
          <w:b/>
        </w:rPr>
        <w:t xml:space="preserve">Figure </w:t>
      </w:r>
      <w:r>
        <w:rPr>
          <w:b/>
        </w:rPr>
        <w:t>3</w:t>
      </w:r>
      <w:r w:rsidRPr="00F63A9B">
        <w:rPr>
          <w:b/>
        </w:rPr>
        <w:t xml:space="preserve">. </w:t>
      </w:r>
      <w:r w:rsidRPr="002C1F91">
        <w:t>Structural characterization of the CNTs: (a) SEM micrographs of the SWNT and MWNT films; (b) Raman spectroscopy results.</w:t>
      </w:r>
    </w:p>
    <w:p w:rsidR="0089278D" w:rsidRPr="00FA04F1" w:rsidRDefault="0089278D" w:rsidP="002C1F91">
      <w:pPr>
        <w:pStyle w:val="MDPI51figurecaption"/>
      </w:pPr>
    </w:p>
    <w:p w:rsidR="002C1F91" w:rsidRPr="001F31D1" w:rsidRDefault="002C1F91" w:rsidP="002C1F91">
      <w:pPr>
        <w:pStyle w:val="MDPI22heading2"/>
        <w:spacing w:before="240"/>
      </w:pPr>
      <w:r>
        <w:t>2</w:t>
      </w:r>
      <w:r w:rsidRPr="001F31D1">
        <w:t>.</w:t>
      </w:r>
      <w:r>
        <w:t>3</w:t>
      </w:r>
      <w:r w:rsidRPr="001F31D1">
        <w:t xml:space="preserve">. </w:t>
      </w:r>
      <w:r w:rsidRPr="002C1F91">
        <w:t>Apparatus</w:t>
      </w:r>
    </w:p>
    <w:p w:rsidR="002C1F91" w:rsidRDefault="002C1F91" w:rsidP="002C1F91">
      <w:pPr>
        <w:pStyle w:val="MDPI31text"/>
      </w:pPr>
      <w:r>
        <w:t xml:space="preserve">The electrochemical measurements were carried out using in-house produced SPEs, as detailed in our previous works [21,24,29]. Cyclic voltammetry (CV) and square wave voltammetry (SWV) analysis were performed using a Palmesens4™ portable </w:t>
      </w:r>
      <w:proofErr w:type="spellStart"/>
      <w:r>
        <w:t>potentiostat</w:t>
      </w:r>
      <w:proofErr w:type="spellEnd"/>
      <w:r>
        <w:t xml:space="preserve"> system (</w:t>
      </w:r>
      <w:proofErr w:type="spellStart"/>
      <w:r>
        <w:t>Palmesens</w:t>
      </w:r>
      <w:proofErr w:type="spellEnd"/>
      <w:r>
        <w:t xml:space="preserve">, </w:t>
      </w:r>
      <w:proofErr w:type="spellStart"/>
      <w:r>
        <w:t>Houten</w:t>
      </w:r>
      <w:proofErr w:type="spellEnd"/>
      <w:r>
        <w:t xml:space="preserve">, The Netherlands) together with proprietary software </w:t>
      </w:r>
      <w:proofErr w:type="spellStart"/>
      <w:r>
        <w:t>PSTrace</w:t>
      </w:r>
      <w:proofErr w:type="spellEnd"/>
      <w:r>
        <w:t xml:space="preserve"> (</w:t>
      </w:r>
      <w:proofErr w:type="spellStart"/>
      <w:r>
        <w:t>Palmesens</w:t>
      </w:r>
      <w:proofErr w:type="spellEnd"/>
      <w:r>
        <w:t xml:space="preserve">, </w:t>
      </w:r>
      <w:proofErr w:type="spellStart"/>
      <w:r>
        <w:t>Houten</w:t>
      </w:r>
      <w:proofErr w:type="spellEnd"/>
      <w:r>
        <w:t>, The Netherlands). Dispersions were realized using Hielscher UP200St-Ultrasonic Transducer. Morphological analyses were performed u</w:t>
      </w:r>
      <w:r>
        <w:t>s</w:t>
      </w:r>
      <w:r>
        <w:t>ing a VEGA II scanning electron microscope (</w:t>
      </w:r>
      <w:proofErr w:type="spellStart"/>
      <w:r>
        <w:t>Tescan</w:t>
      </w:r>
      <w:proofErr w:type="spellEnd"/>
      <w:r>
        <w:t xml:space="preserve">, Czech Republic). Raman spectra were performed using an </w:t>
      </w:r>
      <w:proofErr w:type="spellStart"/>
      <w:r>
        <w:t>Invia</w:t>
      </w:r>
      <w:proofErr w:type="spellEnd"/>
      <w:r>
        <w:t xml:space="preserve"> Raman microscope (Renishaw, UK) endowed with a 532 and 633 nm laser, a 100 objective, and an 1800 L/mm grating</w:t>
      </w:r>
    </w:p>
    <w:p w:rsidR="002C1F91" w:rsidRDefault="002C1F91" w:rsidP="002C1F91">
      <w:pPr>
        <w:pStyle w:val="MDPI31text"/>
      </w:pPr>
    </w:p>
    <w:p w:rsidR="002C1F91" w:rsidRPr="001F31D1" w:rsidRDefault="002C1F91" w:rsidP="002C1F91">
      <w:pPr>
        <w:pStyle w:val="MDPI22heading2"/>
        <w:spacing w:before="240"/>
      </w:pPr>
      <w:r>
        <w:t>2</w:t>
      </w:r>
      <w:r w:rsidRPr="001F31D1">
        <w:t>.</w:t>
      </w:r>
      <w:r>
        <w:t>4</w:t>
      </w:r>
      <w:r w:rsidRPr="001F31D1">
        <w:t xml:space="preserve">. </w:t>
      </w:r>
      <w:r w:rsidRPr="002C1F91">
        <w:t>Analytical Parameters Calculation</w:t>
      </w:r>
    </w:p>
    <w:p w:rsidR="002C1F91" w:rsidRDefault="002C1F91" w:rsidP="002C1F91">
      <w:pPr>
        <w:pStyle w:val="MDPI31text"/>
      </w:pPr>
      <w:r>
        <w:t>The limit of detection and quantification (LOD, LOQ), the heterogeneous rate co</w:t>
      </w:r>
      <w:r>
        <w:t>n</w:t>
      </w:r>
      <w:r>
        <w:t>stants (k0) and the percentage increase (I%) in faradaic current were estimated as r</w:t>
      </w:r>
      <w:r>
        <w:t>e</w:t>
      </w:r>
      <w:r>
        <w:t>ported in our previous works [21,24,</w:t>
      </w:r>
      <w:r w:rsidR="00D64854">
        <w:t>29</w:t>
      </w:r>
      <w:r>
        <w:t xml:space="preserve">,30]. Moreover, the </w:t>
      </w:r>
      <w:proofErr w:type="spellStart"/>
      <w:r>
        <w:t>Randles</w:t>
      </w:r>
      <w:proofErr w:type="spellEnd"/>
      <w:r>
        <w:t>–</w:t>
      </w:r>
      <w:proofErr w:type="spellStart"/>
      <w:r>
        <w:t>Sevcik</w:t>
      </w:r>
      <w:proofErr w:type="spellEnd"/>
      <w:r>
        <w:t xml:space="preserve"> equation (Eq. 2, exploited for the determination of the diffusion coefficients (D0) and the surface-active area (A), is set forth below [31]:</w:t>
      </w:r>
    </w:p>
    <w:p w:rsidR="002C1F91" w:rsidRDefault="002C1F91" w:rsidP="00567B5A">
      <w:pPr>
        <w:pStyle w:val="MDPI31text"/>
      </w:pP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2C1F91" w:rsidRPr="001A7DD8" w:rsidTr="005F1D2E">
        <w:tc>
          <w:tcPr>
            <w:tcW w:w="7428" w:type="dxa"/>
          </w:tcPr>
          <w:p w:rsidR="002C1F91" w:rsidRPr="003030D2" w:rsidRDefault="00FB15C6" w:rsidP="005F1D2E">
            <w:pPr>
              <w:pStyle w:val="MDPI39equation"/>
            </w:pPr>
            <m:oMath>
              <m:sSub>
                <m:sSubPr>
                  <m:ctrlPr>
                    <w:rPr>
                      <w:rFonts w:ascii="Cambria Math" w:hAnsi="Cambria Math"/>
                      <w:sz w:val="22"/>
                    </w:rPr>
                  </m:ctrlPr>
                </m:sSubPr>
                <m:e>
                  <m:r>
                    <m:rPr>
                      <m:sty m:val="p"/>
                    </m:rPr>
                    <w:rPr>
                      <w:rFonts w:ascii="Cambria Math" w:hAnsi="Cambria Math"/>
                      <w:sz w:val="22"/>
                    </w:rPr>
                    <m:t>I</m:t>
                  </m:r>
                </m:e>
                <m:sub>
                  <m:r>
                    <m:rPr>
                      <m:sty m:val="p"/>
                    </m:rPr>
                    <w:rPr>
                      <w:rFonts w:ascii="Cambria Math" w:hAnsi="Cambria Math"/>
                      <w:sz w:val="22"/>
                    </w:rPr>
                    <m:t>p</m:t>
                  </m:r>
                </m:sub>
              </m:sSub>
              <m:r>
                <m:rPr>
                  <m:sty m:val="p"/>
                </m:rPr>
                <w:rPr>
                  <w:rFonts w:ascii="Cambria Math" w:hAnsi="Cambria Math"/>
                  <w:sz w:val="22"/>
                </w:rPr>
                <m:t>=</m:t>
              </m:r>
              <m:d>
                <m:dPr>
                  <m:ctrlPr>
                    <w:rPr>
                      <w:rFonts w:ascii="Cambria Math" w:hAnsi="Cambria Math"/>
                      <w:sz w:val="22"/>
                    </w:rPr>
                  </m:ctrlPr>
                </m:dPr>
                <m:e>
                  <m:r>
                    <m:rPr>
                      <m:sty m:val="p"/>
                    </m:rPr>
                    <w:rPr>
                      <w:rFonts w:ascii="Cambria Math" w:hAnsi="Cambria Math"/>
                      <w:sz w:val="22"/>
                    </w:rPr>
                    <m:t>0.4463</m:t>
                  </m:r>
                </m:e>
              </m:d>
              <m:r>
                <w:rPr>
                  <w:rFonts w:ascii="Cambria Math" w:hAnsi="Cambria Math"/>
                  <w:sz w:val="22"/>
                </w:rPr>
                <m:t>nFAC</m:t>
              </m:r>
              <m:rad>
                <m:radPr>
                  <m:degHide m:val="1"/>
                  <m:ctrlPr>
                    <w:rPr>
                      <w:rFonts w:ascii="Cambria Math" w:hAnsi="Cambria Math"/>
                      <w:i/>
                      <w:sz w:val="22"/>
                    </w:rPr>
                  </m:ctrlPr>
                </m:radPr>
                <m:deg/>
                <m:e>
                  <m:f>
                    <m:fPr>
                      <m:ctrlPr>
                        <w:rPr>
                          <w:rFonts w:ascii="Cambria Math" w:hAnsi="Cambria Math"/>
                          <w:i/>
                          <w:sz w:val="22"/>
                        </w:rPr>
                      </m:ctrlPr>
                    </m:fPr>
                    <m:num>
                      <m:r>
                        <w:rPr>
                          <w:rFonts w:ascii="Cambria Math" w:hAnsi="Cambria Math"/>
                          <w:sz w:val="22"/>
                        </w:rPr>
                        <m:t>nFv</m:t>
                      </m:r>
                      <m:sSub>
                        <m:sSubPr>
                          <m:ctrlPr>
                            <w:rPr>
                              <w:rFonts w:ascii="Cambria Math" w:hAnsi="Cambria Math"/>
                              <w:i/>
                              <w:sz w:val="22"/>
                            </w:rPr>
                          </m:ctrlPr>
                        </m:sSubPr>
                        <m:e>
                          <m:r>
                            <w:rPr>
                              <w:rFonts w:ascii="Cambria Math" w:hAnsi="Cambria Math"/>
                              <w:sz w:val="22"/>
                            </w:rPr>
                            <m:t>D</m:t>
                          </m:r>
                        </m:e>
                        <m:sub>
                          <m:r>
                            <w:rPr>
                              <w:rFonts w:ascii="Cambria Math" w:hAnsi="Cambria Math"/>
                              <w:sz w:val="22"/>
                            </w:rPr>
                            <m:t>0</m:t>
                          </m:r>
                        </m:sub>
                      </m:sSub>
                    </m:num>
                    <m:den>
                      <m:r>
                        <w:rPr>
                          <w:rFonts w:ascii="Cambria Math" w:hAnsi="Cambria Math"/>
                          <w:sz w:val="22"/>
                        </w:rPr>
                        <m:t>RT</m:t>
                      </m:r>
                    </m:den>
                  </m:f>
                </m:e>
              </m:rad>
            </m:oMath>
            <w:r w:rsidR="0089278D" w:rsidRPr="002E316D">
              <w:rPr>
                <w:rFonts w:ascii="Times New Roman" w:hAnsi="Times New Roman"/>
              </w:rPr>
              <w:t xml:space="preserve">                     </w:t>
            </w:r>
          </w:p>
        </w:tc>
        <w:tc>
          <w:tcPr>
            <w:tcW w:w="431" w:type="dxa"/>
            <w:vAlign w:val="center"/>
          </w:tcPr>
          <w:p w:rsidR="002C1F91" w:rsidRPr="003030D2" w:rsidRDefault="002C1F91" w:rsidP="005F1D2E">
            <w:pPr>
              <w:pStyle w:val="MDPI3aequationnumber"/>
              <w:spacing w:line="260" w:lineRule="atLeast"/>
            </w:pPr>
            <w:r w:rsidRPr="003030D2">
              <w:t>(</w:t>
            </w:r>
            <w:r>
              <w:t>2</w:t>
            </w:r>
            <w:r w:rsidRPr="003030D2">
              <w:t>)</w:t>
            </w:r>
          </w:p>
        </w:tc>
      </w:tr>
    </w:tbl>
    <w:p w:rsidR="002C1F91" w:rsidRDefault="002C1F91" w:rsidP="00567B5A">
      <w:pPr>
        <w:pStyle w:val="MDPI31text"/>
      </w:pPr>
    </w:p>
    <w:p w:rsidR="002C1F91" w:rsidRDefault="002C1F91" w:rsidP="0089278D">
      <w:pPr>
        <w:pStyle w:val="MDPI31text"/>
        <w:ind w:firstLine="0"/>
      </w:pPr>
      <w:r w:rsidRPr="002C1F91">
        <w:t xml:space="preserve">where </w:t>
      </w:r>
      <w:r w:rsidRPr="0089278D">
        <w:rPr>
          <w:i/>
        </w:rPr>
        <w:t>D</w:t>
      </w:r>
      <w:r w:rsidRPr="0089278D">
        <w:rPr>
          <w:i/>
          <w:vertAlign w:val="subscript"/>
        </w:rPr>
        <w:t>0</w:t>
      </w:r>
      <w:r w:rsidRPr="002C1F91">
        <w:t xml:space="preserve"> is the diffusion coefficient (cm</w:t>
      </w:r>
      <w:r w:rsidRPr="0089278D">
        <w:rPr>
          <w:vertAlign w:val="superscript"/>
        </w:rPr>
        <w:t>2</w:t>
      </w:r>
      <w:r w:rsidRPr="002C1F91">
        <w:t xml:space="preserve">/s) for the </w:t>
      </w:r>
      <w:proofErr w:type="spellStart"/>
      <w:r w:rsidRPr="002C1F91">
        <w:t>ferri</w:t>
      </w:r>
      <w:proofErr w:type="spellEnd"/>
      <w:r w:rsidRPr="002C1F91">
        <w:t>/</w:t>
      </w:r>
      <w:proofErr w:type="spellStart"/>
      <w:r w:rsidRPr="002C1F91">
        <w:t>ferrocyanide</w:t>
      </w:r>
      <w:proofErr w:type="spellEnd"/>
      <w:r w:rsidRPr="002C1F91">
        <w:t xml:space="preserve"> couple, ν is the scan rate (vs</w:t>
      </w:r>
      <w:r w:rsidRPr="0089278D">
        <w:rPr>
          <w:vertAlign w:val="superscript"/>
        </w:rPr>
        <w:t>-1</w:t>
      </w:r>
      <w:r w:rsidRPr="002C1F91">
        <w:t xml:space="preserve">), n is the number of electrons involved in the process, </w:t>
      </w:r>
      <w:r w:rsidRPr="0089278D">
        <w:rPr>
          <w:i/>
        </w:rPr>
        <w:t>F</w:t>
      </w:r>
      <w:r w:rsidRPr="002C1F91">
        <w:t xml:space="preserve"> is the Faraday constant (1/mol), </w:t>
      </w:r>
      <w:r w:rsidRPr="0089278D">
        <w:rPr>
          <w:i/>
        </w:rPr>
        <w:t>T</w:t>
      </w:r>
      <w:r w:rsidRPr="002C1F91">
        <w:t xml:space="preserve"> is the temperature (K), </w:t>
      </w:r>
      <w:r w:rsidRPr="0089278D">
        <w:rPr>
          <w:i/>
        </w:rPr>
        <w:t>R</w:t>
      </w:r>
      <w:r w:rsidRPr="002C1F91">
        <w:t xml:space="preserve"> is the universal gas constant (J/K mol), and </w:t>
      </w:r>
      <w:r w:rsidRPr="0089278D">
        <w:rPr>
          <w:i/>
        </w:rPr>
        <w:t>A</w:t>
      </w:r>
      <w:r w:rsidRPr="002C1F91">
        <w:t xml:space="preserve"> is the active </w:t>
      </w:r>
      <w:proofErr w:type="spellStart"/>
      <w:r w:rsidRPr="002C1F91">
        <w:t>electrodic</w:t>
      </w:r>
      <w:proofErr w:type="spellEnd"/>
      <w:r w:rsidRPr="002C1F91">
        <w:t xml:space="preserve"> surface.</w:t>
      </w:r>
    </w:p>
    <w:p w:rsidR="0089278D" w:rsidRDefault="0089278D" w:rsidP="0089278D">
      <w:pPr>
        <w:pStyle w:val="MDPI31text"/>
        <w:ind w:firstLine="0"/>
      </w:pPr>
    </w:p>
    <w:p w:rsidR="0089278D" w:rsidRDefault="0089278D" w:rsidP="0089278D">
      <w:pPr>
        <w:pStyle w:val="MDPI31text"/>
        <w:ind w:firstLine="0"/>
      </w:pPr>
    </w:p>
    <w:p w:rsidR="0089278D" w:rsidRDefault="0089278D" w:rsidP="0089278D">
      <w:pPr>
        <w:pStyle w:val="MDPI31text"/>
        <w:ind w:firstLine="0"/>
      </w:pPr>
    </w:p>
    <w:p w:rsidR="00A73EE2" w:rsidRPr="001F31D1" w:rsidRDefault="00A73EE2" w:rsidP="00567B5A">
      <w:pPr>
        <w:pStyle w:val="MDPI21heading1"/>
      </w:pPr>
      <w:r w:rsidRPr="001F31D1">
        <w:lastRenderedPageBreak/>
        <w:t>3. Results</w:t>
      </w:r>
      <w:r w:rsidR="0089278D">
        <w:t xml:space="preserve"> and discussion</w:t>
      </w:r>
    </w:p>
    <w:p w:rsidR="0089278D" w:rsidRDefault="00A73EE2" w:rsidP="0089278D">
      <w:pPr>
        <w:pStyle w:val="MDPI31text"/>
      </w:pPr>
      <w:r>
        <w:t>This section may be divided by subheadings. It should provide a concise and precise description of the experimental results</w:t>
      </w:r>
      <w:r w:rsidR="00392197">
        <w:t>, their interpretation, as well as the experimental conclusions that can be drawn.</w:t>
      </w:r>
    </w:p>
    <w:p w:rsidR="00A73EE2" w:rsidRDefault="00A73EE2" w:rsidP="0082460C">
      <w:pPr>
        <w:pStyle w:val="MDPI22heading2"/>
        <w:spacing w:before="240"/>
      </w:pPr>
      <w:r w:rsidRPr="001F31D1">
        <w:t xml:space="preserve">3.1. </w:t>
      </w:r>
      <w:r w:rsidR="0089278D" w:rsidRPr="0089278D">
        <w:t>Electrochemical performances of CNMs-modified platforms</w:t>
      </w:r>
    </w:p>
    <w:p w:rsidR="0089278D" w:rsidRPr="0089278D" w:rsidRDefault="0089278D" w:rsidP="0089278D">
      <w:pPr>
        <w:pStyle w:val="TAMainText"/>
        <w:spacing w:line="228" w:lineRule="auto"/>
        <w:ind w:left="2693" w:firstLine="284"/>
        <w:rPr>
          <w:rFonts w:ascii="Palatino Linotype" w:hAnsi="Palatino Linotype"/>
          <w:sz w:val="20"/>
        </w:rPr>
      </w:pPr>
      <w:r w:rsidRPr="0089278D">
        <w:rPr>
          <w:rFonts w:ascii="Palatino Linotype" w:hAnsi="Palatino Linotype"/>
          <w:sz w:val="20"/>
        </w:rPr>
        <w:t>To demonstrate the effect of carbon-nanomaterials on the performance of our homemade serigraphic platforms, an in-depth electrochemical characterization of u</w:t>
      </w:r>
      <w:r w:rsidRPr="0089278D">
        <w:rPr>
          <w:rFonts w:ascii="Palatino Linotype" w:hAnsi="Palatino Linotype"/>
          <w:sz w:val="20"/>
        </w:rPr>
        <w:t>n</w:t>
      </w:r>
      <w:r w:rsidRPr="0089278D">
        <w:rPr>
          <w:rFonts w:ascii="Palatino Linotype" w:hAnsi="Palatino Linotype"/>
          <w:sz w:val="20"/>
        </w:rPr>
        <w:t xml:space="preserve">modified (bare-SPE) and modified-SPEs (MWNT, SWNT, GNP-SPEs) was carried out (Fig.4). Initially, the background current output was quantified using amperometry (1.7 V, 150 s) by analyzing eight different electrodes (n=8) for each type of platform in a 100 </w:t>
      </w:r>
      <w:proofErr w:type="spellStart"/>
      <w:r w:rsidRPr="0089278D">
        <w:rPr>
          <w:rFonts w:ascii="Palatino Linotype" w:hAnsi="Palatino Linotype"/>
          <w:sz w:val="20"/>
        </w:rPr>
        <w:t>mM</w:t>
      </w:r>
      <w:proofErr w:type="spellEnd"/>
      <w:r w:rsidRPr="0089278D">
        <w:rPr>
          <w:rFonts w:ascii="Palatino Linotype" w:hAnsi="Palatino Linotype"/>
          <w:sz w:val="20"/>
        </w:rPr>
        <w:t xml:space="preserve"> </w:t>
      </w:r>
      <w:proofErr w:type="spellStart"/>
      <w:r w:rsidRPr="0089278D">
        <w:rPr>
          <w:rFonts w:ascii="Palatino Linotype" w:hAnsi="Palatino Linotype"/>
          <w:sz w:val="20"/>
        </w:rPr>
        <w:t>KCl</w:t>
      </w:r>
      <w:proofErr w:type="spellEnd"/>
      <w:r w:rsidRPr="0089278D">
        <w:rPr>
          <w:rFonts w:ascii="Palatino Linotype" w:hAnsi="Palatino Linotype"/>
          <w:sz w:val="20"/>
        </w:rPr>
        <w:t xml:space="preserve"> solution. The following current results were obtained: 29.4 ± 0.5, 40 ± 1, 35 ± 9 </w:t>
      </w:r>
      <w:proofErr w:type="spellStart"/>
      <w:r w:rsidRPr="0089278D">
        <w:rPr>
          <w:rFonts w:ascii="Palatino Linotype" w:hAnsi="Palatino Linotype"/>
          <w:sz w:val="20"/>
        </w:rPr>
        <w:t>nA</w:t>
      </w:r>
      <w:proofErr w:type="spellEnd"/>
      <w:r w:rsidRPr="0089278D">
        <w:rPr>
          <w:rFonts w:ascii="Palatino Linotype" w:hAnsi="Palatino Linotype"/>
          <w:sz w:val="20"/>
        </w:rPr>
        <w:t xml:space="preserve"> and 132 ± 14nA for SWNT, MWNT, GNP and classical SPEs, respectively. By using the standard deviation </w:t>
      </w:r>
      <w:r w:rsidRPr="0089278D">
        <w:rPr>
          <w:rFonts w:ascii="Palatino Linotype" w:hAnsi="Palatino Linotype"/>
          <w:sz w:val="20"/>
        </w:rPr>
        <w:fldChar w:fldCharType="begin"/>
      </w:r>
      <w:r w:rsidRPr="0089278D">
        <w:rPr>
          <w:rFonts w:ascii="Palatino Linotype" w:hAnsi="Palatino Linotype"/>
          <w:sz w:val="20"/>
        </w:rPr>
        <w:instrText xml:space="preserve"> ADDIN ZOTERO_ITEM CSL_CITATION {"citationID":"o7eLx3vW","properties":{"formattedCitation":"[21]","plainCitation":"[21]","noteIndex":0},"citationItems":[{"id":669,"uris":["http://zotero.org/users/local/R5POecAa/items/LYUGTDLL"],"uri":["http://zotero.org/users/local/R5POecAa/items/LYUGTDLL"],"itemData":{"id":669,"type":"article-journal","container-title":"Electrochemistry Communications","DOI":"10.1016/j.elecom.2020.106862","ISSN":"13882481","journalAbbreviation":"Electrochemistry Communications","language":"en","page":"106862","source":"DOI.org (Crossref)","title":"An inverse-designed electrochemical platform for analytical applications","volume":"121","author":[{"family":"Cancelliere","given":"Rocco"},{"family":"Di Tinno","given":"Alessio"},{"family":"Di Lellis","given":"Andrea Maria"},{"family":"Tedeschi","given":"Yannick"},{"family":"Bellucci","given":"Stefano"},{"family":"Carbone","given":"Katya"},{"family":"Signori","given":"Emanuela"},{"family":"Contini","given":"Giorgio"},{"family":"Micheli","given":"Laura"}],"issued":{"date-parts":[["2020",12]]}}}],"schema":"https://github.com/citation-style-language/schema/raw/master/csl-citation.json"} </w:instrText>
      </w:r>
      <w:r w:rsidRPr="0089278D">
        <w:rPr>
          <w:rFonts w:ascii="Palatino Linotype" w:hAnsi="Palatino Linotype"/>
          <w:sz w:val="20"/>
        </w:rPr>
        <w:fldChar w:fldCharType="separate"/>
      </w:r>
      <w:r w:rsidRPr="0089278D">
        <w:rPr>
          <w:rFonts w:ascii="Palatino Linotype" w:hAnsi="Palatino Linotype"/>
          <w:sz w:val="20"/>
        </w:rPr>
        <w:t>[21]</w:t>
      </w:r>
      <w:r w:rsidRPr="0089278D">
        <w:rPr>
          <w:rFonts w:ascii="Palatino Linotype" w:hAnsi="Palatino Linotype"/>
          <w:sz w:val="20"/>
        </w:rPr>
        <w:fldChar w:fldCharType="end"/>
      </w:r>
      <w:r w:rsidRPr="0089278D">
        <w:rPr>
          <w:rFonts w:ascii="Palatino Linotype" w:hAnsi="Palatino Linotype"/>
          <w:sz w:val="20"/>
        </w:rPr>
        <w:t xml:space="preserve"> as the index of signal/noise ratio it is possible to ascertain that the modification with CNMs produces a more dependable electrochemical device with an important minimization of capacitive current. After that, six different platforms (n=6) for each modified-SPEs were analyzed </w:t>
      </w:r>
      <w:proofErr w:type="spellStart"/>
      <w:r w:rsidRPr="0089278D">
        <w:rPr>
          <w:rFonts w:ascii="Palatino Linotype" w:hAnsi="Palatino Linotype"/>
          <w:sz w:val="20"/>
        </w:rPr>
        <w:t>voltammetrically</w:t>
      </w:r>
      <w:proofErr w:type="spellEnd"/>
      <w:r w:rsidRPr="0089278D">
        <w:rPr>
          <w:rFonts w:ascii="Palatino Linotype" w:hAnsi="Palatino Linotype"/>
          <w:sz w:val="20"/>
        </w:rPr>
        <w:t xml:space="preserve"> (CV) using the reversible couple (10mM) [Fe(CN)</w:t>
      </w:r>
      <w:r w:rsidRPr="0089278D">
        <w:rPr>
          <w:rFonts w:ascii="Palatino Linotype" w:hAnsi="Palatino Linotype"/>
          <w:sz w:val="20"/>
          <w:vertAlign w:val="subscript"/>
        </w:rPr>
        <w:t>6</w:t>
      </w:r>
      <w:r w:rsidRPr="0089278D">
        <w:rPr>
          <w:rFonts w:ascii="Palatino Linotype" w:hAnsi="Palatino Linotype"/>
          <w:sz w:val="20"/>
        </w:rPr>
        <w:t>]</w:t>
      </w:r>
      <w:r w:rsidRPr="0089278D">
        <w:rPr>
          <w:rFonts w:ascii="Palatino Linotype" w:hAnsi="Palatino Linotype"/>
          <w:sz w:val="20"/>
          <w:vertAlign w:val="superscript"/>
        </w:rPr>
        <w:t>3-/4-</w:t>
      </w:r>
      <w:r w:rsidRPr="0089278D">
        <w:rPr>
          <w:rFonts w:ascii="Palatino Linotype" w:hAnsi="Palatino Linotype"/>
          <w:sz w:val="20"/>
        </w:rPr>
        <w:t xml:space="preserve"> as an electroactive reporter. By analyzing the voltamm</w:t>
      </w:r>
      <w:r w:rsidRPr="0089278D">
        <w:rPr>
          <w:rFonts w:ascii="Palatino Linotype" w:hAnsi="Palatino Linotype"/>
          <w:sz w:val="20"/>
        </w:rPr>
        <w:t>o</w:t>
      </w:r>
      <w:r w:rsidRPr="0089278D">
        <w:rPr>
          <w:rFonts w:ascii="Palatino Linotype" w:hAnsi="Palatino Linotype"/>
          <w:sz w:val="20"/>
        </w:rPr>
        <w:t xml:space="preserve">grams reported in Figure 4a, it can be readily observed that the modification of the WE with CNMs produces a dramatic improvement in the magnitude of the </w:t>
      </w:r>
      <w:proofErr w:type="spellStart"/>
      <w:r w:rsidRPr="0089278D">
        <w:rPr>
          <w:rFonts w:ascii="Palatino Linotype" w:hAnsi="Palatino Linotype"/>
          <w:sz w:val="20"/>
        </w:rPr>
        <w:t>voltammetric</w:t>
      </w:r>
      <w:proofErr w:type="spellEnd"/>
      <w:r w:rsidRPr="0089278D">
        <w:rPr>
          <w:rFonts w:ascii="Palatino Linotype" w:hAnsi="Palatino Linotype"/>
          <w:sz w:val="20"/>
        </w:rPr>
        <w:t xml:space="preserve"> peak height (faradaic current), as proven by the % increase of anodic and cathodic peak current (</w:t>
      </w:r>
      <w:proofErr w:type="spellStart"/>
      <w:r w:rsidRPr="0089278D">
        <w:rPr>
          <w:rFonts w:ascii="Palatino Linotype" w:hAnsi="Palatino Linotype"/>
          <w:sz w:val="20"/>
        </w:rPr>
        <w:t>Ipa</w:t>
      </w:r>
      <w:proofErr w:type="spellEnd"/>
      <w:r w:rsidRPr="0089278D">
        <w:rPr>
          <w:rFonts w:ascii="Palatino Linotype" w:hAnsi="Palatino Linotype"/>
          <w:sz w:val="20"/>
        </w:rPr>
        <w:t xml:space="preserve"> and </w:t>
      </w:r>
      <w:proofErr w:type="spellStart"/>
      <w:r w:rsidRPr="0089278D">
        <w:rPr>
          <w:rFonts w:ascii="Palatino Linotype" w:hAnsi="Palatino Linotype"/>
          <w:sz w:val="20"/>
        </w:rPr>
        <w:t>Ipc</w:t>
      </w:r>
      <w:proofErr w:type="spellEnd"/>
      <w:r w:rsidRPr="0089278D">
        <w:rPr>
          <w:rFonts w:ascii="Palatino Linotype" w:hAnsi="Palatino Linotype"/>
          <w:sz w:val="20"/>
        </w:rPr>
        <w:t>). In particular, a 19, 16 and 17-fold increase of the anodic peak cu</w:t>
      </w:r>
      <w:r w:rsidRPr="0089278D">
        <w:rPr>
          <w:rFonts w:ascii="Palatino Linotype" w:hAnsi="Palatino Linotype"/>
          <w:sz w:val="20"/>
        </w:rPr>
        <w:t>r</w:t>
      </w:r>
      <w:r w:rsidRPr="0089278D">
        <w:rPr>
          <w:rFonts w:ascii="Palatino Linotype" w:hAnsi="Palatino Linotype"/>
          <w:sz w:val="20"/>
        </w:rPr>
        <w:t xml:space="preserve">rent was observed for SWNT, MWNT, and GNP-based SPE, respectively (Fig.4a). In addition, once drop-casted, the </w:t>
      </w:r>
      <w:proofErr w:type="spellStart"/>
      <w:r w:rsidRPr="0089278D">
        <w:rPr>
          <w:rFonts w:ascii="Palatino Linotype" w:hAnsi="Palatino Linotype"/>
          <w:sz w:val="20"/>
        </w:rPr>
        <w:t>nano</w:t>
      </w:r>
      <w:proofErr w:type="spellEnd"/>
      <w:r w:rsidRPr="0089278D">
        <w:rPr>
          <w:rFonts w:ascii="Palatino Linotype" w:hAnsi="Palatino Linotype"/>
          <w:sz w:val="20"/>
        </w:rPr>
        <w:t>-functionalized platforms allow overcoming a s</w:t>
      </w:r>
      <w:r w:rsidRPr="0089278D">
        <w:rPr>
          <w:rFonts w:ascii="Palatino Linotype" w:hAnsi="Palatino Linotype"/>
          <w:sz w:val="20"/>
        </w:rPr>
        <w:t>e</w:t>
      </w:r>
      <w:r w:rsidRPr="0089278D">
        <w:rPr>
          <w:rFonts w:ascii="Palatino Linotype" w:hAnsi="Palatino Linotype"/>
          <w:sz w:val="20"/>
        </w:rPr>
        <w:t>rious issue which severely affects the sensitivity and selectivity associated with conve</w:t>
      </w:r>
      <w:r w:rsidRPr="0089278D">
        <w:rPr>
          <w:rFonts w:ascii="Palatino Linotype" w:hAnsi="Palatino Linotype"/>
          <w:sz w:val="20"/>
        </w:rPr>
        <w:t>n</w:t>
      </w:r>
      <w:r w:rsidRPr="0089278D">
        <w:rPr>
          <w:rFonts w:ascii="Palatino Linotype" w:hAnsi="Palatino Linotype"/>
          <w:sz w:val="20"/>
        </w:rPr>
        <w:t>tional electrodes: the sluggish surface kinetics. As reported in Table 1, an incredible improvement of the surface kinetics of the bare electrodes was achieved by modifying them with CNMs, as demonstrated by the heterogeneous electron transfer rate constant (k</w:t>
      </w:r>
      <w:r w:rsidRPr="0089278D">
        <w:rPr>
          <w:rFonts w:ascii="Palatino Linotype" w:hAnsi="Palatino Linotype"/>
          <w:sz w:val="20"/>
          <w:vertAlign w:val="superscript"/>
        </w:rPr>
        <w:t>0</w:t>
      </w:r>
      <w:r w:rsidRPr="0089278D">
        <w:rPr>
          <w:rFonts w:ascii="Palatino Linotype" w:hAnsi="Palatino Linotype"/>
          <w:sz w:val="20"/>
        </w:rPr>
        <w:t xml:space="preserve">) here calculated. Moreover, the </w:t>
      </w:r>
      <w:proofErr w:type="spellStart"/>
      <w:r w:rsidRPr="0089278D">
        <w:rPr>
          <w:rFonts w:ascii="Palatino Linotype" w:hAnsi="Palatino Linotype"/>
          <w:sz w:val="20"/>
        </w:rPr>
        <w:t>nano</w:t>
      </w:r>
      <w:proofErr w:type="spellEnd"/>
      <w:r w:rsidRPr="0089278D">
        <w:rPr>
          <w:rFonts w:ascii="Palatino Linotype" w:hAnsi="Palatino Linotype"/>
          <w:sz w:val="20"/>
        </w:rPr>
        <w:t>-modified platforms allow the electroactive couples (Fe</w:t>
      </w:r>
      <w:r w:rsidRPr="0089278D">
        <w:rPr>
          <w:rFonts w:ascii="Palatino Linotype" w:hAnsi="Palatino Linotype"/>
          <w:sz w:val="20"/>
          <w:vertAlign w:val="superscript"/>
        </w:rPr>
        <w:t>2+</w:t>
      </w:r>
      <w:r w:rsidRPr="0089278D">
        <w:rPr>
          <w:rFonts w:ascii="Palatino Linotype" w:hAnsi="Palatino Linotype"/>
          <w:sz w:val="20"/>
        </w:rPr>
        <w:t>/Fe</w:t>
      </w:r>
      <w:r w:rsidRPr="0089278D">
        <w:rPr>
          <w:rFonts w:ascii="Palatino Linotype" w:hAnsi="Palatino Linotype"/>
          <w:sz w:val="20"/>
          <w:vertAlign w:val="superscript"/>
        </w:rPr>
        <w:t>3+</w:t>
      </w:r>
      <w:r w:rsidRPr="0089278D">
        <w:rPr>
          <w:rFonts w:ascii="Palatino Linotype" w:hAnsi="Palatino Linotype"/>
          <w:sz w:val="20"/>
        </w:rPr>
        <w:t>) to function as an ideal reversible system, as evidenced by the anodic and cathodic peak ratio (</w:t>
      </w:r>
      <w:proofErr w:type="spellStart"/>
      <w:r w:rsidRPr="0089278D">
        <w:rPr>
          <w:rFonts w:ascii="Palatino Linotype" w:hAnsi="Palatino Linotype"/>
          <w:sz w:val="20"/>
        </w:rPr>
        <w:t>Ipa</w:t>
      </w:r>
      <w:proofErr w:type="spellEnd"/>
      <w:r w:rsidRPr="0089278D">
        <w:rPr>
          <w:rFonts w:ascii="Palatino Linotype" w:hAnsi="Palatino Linotype"/>
          <w:sz w:val="20"/>
        </w:rPr>
        <w:t>/</w:t>
      </w:r>
      <w:proofErr w:type="spellStart"/>
      <w:r w:rsidRPr="0089278D">
        <w:rPr>
          <w:rFonts w:ascii="Palatino Linotype" w:hAnsi="Palatino Linotype"/>
          <w:sz w:val="20"/>
        </w:rPr>
        <w:t>Ipc</w:t>
      </w:r>
      <w:proofErr w:type="spellEnd"/>
      <w:r w:rsidRPr="0089278D">
        <w:rPr>
          <w:rFonts w:ascii="Palatino Linotype" w:hAnsi="Palatino Linotype"/>
          <w:sz w:val="20"/>
        </w:rPr>
        <w:t>=1) and the peak-to-peak separation (ΔE). Whereas, a quasi-reversible systems-like behavior was observed for bare SPEs. Anyway, the e</w:t>
      </w:r>
      <w:r w:rsidRPr="0089278D">
        <w:rPr>
          <w:rFonts w:ascii="Palatino Linotype" w:hAnsi="Palatino Linotype"/>
          <w:sz w:val="20"/>
        </w:rPr>
        <w:t>n</w:t>
      </w:r>
      <w:r w:rsidRPr="0089278D">
        <w:rPr>
          <w:rFonts w:ascii="Palatino Linotype" w:hAnsi="Palatino Linotype"/>
          <w:sz w:val="20"/>
        </w:rPr>
        <w:t>hanced surface kinetic is not the only advantage that the use of nanomaterials brings in electrode modification. A major electroactive surface area (A) is usually observed after the drop-casting of the working electrode (WE). In particular, a 2, 3 and 4-fold increase of A was observed when unmodified-SPEs were cast using SWNT, MWNT and GNP, respectively. The improvement of all these electroanalytical parameters formally entails a decrease in the background current and therefore an increase in the sensitiv</w:t>
      </w:r>
      <w:r w:rsidRPr="0089278D">
        <w:rPr>
          <w:rFonts w:ascii="Palatino Linotype" w:hAnsi="Palatino Linotype"/>
          <w:sz w:val="20"/>
        </w:rPr>
        <w:t>i</w:t>
      </w:r>
      <w:r w:rsidRPr="0089278D">
        <w:rPr>
          <w:rFonts w:ascii="Palatino Linotype" w:hAnsi="Palatino Linotype"/>
          <w:sz w:val="20"/>
        </w:rPr>
        <w:t xml:space="preserve">ty-correlated faradic current signal. Indeed, CNMs-modified SPEs result 5-fold more sensitive than the bare platform when tested </w:t>
      </w:r>
      <w:proofErr w:type="spellStart"/>
      <w:r w:rsidRPr="0089278D">
        <w:rPr>
          <w:rFonts w:ascii="Palatino Linotype" w:hAnsi="Palatino Linotype"/>
          <w:sz w:val="20"/>
        </w:rPr>
        <w:t>voltammetrically</w:t>
      </w:r>
      <w:proofErr w:type="spellEnd"/>
      <w:r w:rsidRPr="0089278D">
        <w:rPr>
          <w:rFonts w:ascii="Palatino Linotype" w:hAnsi="Palatino Linotype"/>
          <w:sz w:val="20"/>
        </w:rPr>
        <w:t xml:space="preserve"> (SWV) using different concentrations (from 0 to 10mM) of [Fe(CN)</w:t>
      </w:r>
      <w:r w:rsidRPr="0089278D">
        <w:rPr>
          <w:rFonts w:ascii="Palatino Linotype" w:hAnsi="Palatino Linotype"/>
          <w:sz w:val="20"/>
          <w:vertAlign w:val="subscript"/>
        </w:rPr>
        <w:t>6</w:t>
      </w:r>
      <w:r w:rsidRPr="0089278D">
        <w:rPr>
          <w:rFonts w:ascii="Palatino Linotype" w:hAnsi="Palatino Linotype"/>
          <w:sz w:val="20"/>
        </w:rPr>
        <w:t>]</w:t>
      </w:r>
      <w:r w:rsidRPr="0089278D">
        <w:rPr>
          <w:rFonts w:ascii="Palatino Linotype" w:hAnsi="Palatino Linotype"/>
          <w:sz w:val="20"/>
          <w:vertAlign w:val="superscript"/>
        </w:rPr>
        <w:t>3-/4-</w:t>
      </w:r>
      <w:r w:rsidRPr="0089278D">
        <w:rPr>
          <w:rFonts w:ascii="Palatino Linotype" w:hAnsi="Palatino Linotype"/>
          <w:sz w:val="20"/>
        </w:rPr>
        <w:t xml:space="preserve">. Furthermore, the diffusivity process occurring at the electrode interface was studied. To do this, the effect of the scan rate on the redox peak currents was evaluated (Figure 3b). Voltammograms reported in Figure </w:t>
      </w:r>
      <w:r w:rsidRPr="0089278D">
        <w:rPr>
          <w:rFonts w:ascii="Palatino Linotype" w:hAnsi="Palatino Linotype"/>
          <w:sz w:val="20"/>
        </w:rPr>
        <w:lastRenderedPageBreak/>
        <w:t xml:space="preserve">4b, reveal that the faster the scan rates, the smaller the size of the diffusion layer and hence, accordingly, an increased peak current values were observed. In particular, using the </w:t>
      </w:r>
      <w:proofErr w:type="spellStart"/>
      <w:r w:rsidRPr="0089278D">
        <w:rPr>
          <w:rFonts w:ascii="Palatino Linotype" w:hAnsi="Palatino Linotype"/>
          <w:sz w:val="20"/>
        </w:rPr>
        <w:t>Randles-Sevcik</w:t>
      </w:r>
      <w:proofErr w:type="spellEnd"/>
      <w:r w:rsidRPr="0089278D">
        <w:rPr>
          <w:rFonts w:ascii="Palatino Linotype" w:hAnsi="Palatino Linotype"/>
          <w:sz w:val="20"/>
        </w:rPr>
        <w:t xml:space="preserve"> equation (Equation 2), in which the peak current is directly propo</w:t>
      </w:r>
      <w:r w:rsidRPr="0089278D">
        <w:rPr>
          <w:rFonts w:ascii="Palatino Linotype" w:hAnsi="Palatino Linotype"/>
          <w:sz w:val="20"/>
        </w:rPr>
        <w:t>r</w:t>
      </w:r>
      <w:r w:rsidRPr="0089278D">
        <w:rPr>
          <w:rFonts w:ascii="Palatino Linotype" w:hAnsi="Palatino Linotype"/>
          <w:sz w:val="20"/>
        </w:rPr>
        <w:t xml:space="preserve">tional to the square root of the scan rate (γ), a plot reporting </w:t>
      </w:r>
      <w:proofErr w:type="spellStart"/>
      <w:r w:rsidRPr="0089278D">
        <w:rPr>
          <w:rFonts w:ascii="Palatino Linotype" w:hAnsi="Palatino Linotype"/>
          <w:sz w:val="20"/>
        </w:rPr>
        <w:t>Ipa</w:t>
      </w:r>
      <w:proofErr w:type="spellEnd"/>
      <w:r w:rsidRPr="0089278D">
        <w:rPr>
          <w:rFonts w:ascii="Palatino Linotype" w:hAnsi="Palatino Linotype"/>
          <w:sz w:val="20"/>
        </w:rPr>
        <w:t xml:space="preserve"> and </w:t>
      </w:r>
      <w:proofErr w:type="spellStart"/>
      <w:r w:rsidRPr="0089278D">
        <w:rPr>
          <w:rFonts w:ascii="Palatino Linotype" w:hAnsi="Palatino Linotype"/>
          <w:sz w:val="20"/>
        </w:rPr>
        <w:t>Ipc</w:t>
      </w:r>
      <w:proofErr w:type="spellEnd"/>
      <w:r w:rsidRPr="0089278D">
        <w:rPr>
          <w:rFonts w:ascii="Palatino Linotype" w:hAnsi="Palatino Linotype"/>
          <w:sz w:val="20"/>
        </w:rPr>
        <w:t xml:space="preserve"> as a function of the γ </w:t>
      </w:r>
      <w:r w:rsidRPr="0089278D">
        <w:rPr>
          <w:rFonts w:ascii="Palatino Linotype" w:hAnsi="Palatino Linotype"/>
          <w:sz w:val="20"/>
          <w:vertAlign w:val="superscript"/>
        </w:rPr>
        <w:t>0.5</w:t>
      </w:r>
      <w:r w:rsidRPr="0089278D">
        <w:rPr>
          <w:rFonts w:ascii="Palatino Linotype" w:hAnsi="Palatino Linotype"/>
          <w:sz w:val="20"/>
        </w:rPr>
        <w:t xml:space="preserve"> has been obtained (Figure 4c). The deriving slopes (</w:t>
      </w:r>
      <w:proofErr w:type="spellStart"/>
      <w:r w:rsidRPr="0089278D">
        <w:rPr>
          <w:rFonts w:ascii="Palatino Linotype" w:hAnsi="Palatino Linotype"/>
          <w:sz w:val="20"/>
        </w:rPr>
        <w:t>μA</w:t>
      </w:r>
      <w:proofErr w:type="spellEnd"/>
      <w:r w:rsidRPr="0089278D">
        <w:rPr>
          <w:rFonts w:ascii="Palatino Linotype" w:hAnsi="Palatino Linotype"/>
          <w:sz w:val="20"/>
        </w:rPr>
        <w:t>/(mV/s)</w:t>
      </w:r>
      <w:r w:rsidRPr="0089278D">
        <w:rPr>
          <w:rFonts w:ascii="Palatino Linotype" w:hAnsi="Palatino Linotype"/>
          <w:sz w:val="20"/>
          <w:vertAlign w:val="superscript"/>
        </w:rPr>
        <w:t>0.5</w:t>
      </w:r>
      <w:r w:rsidRPr="0089278D">
        <w:rPr>
          <w:rFonts w:ascii="Palatino Linotype" w:hAnsi="Palatino Linotype"/>
          <w:sz w:val="20"/>
        </w:rPr>
        <w:t xml:space="preserve">) of the linear correlation of </w:t>
      </w:r>
      <w:proofErr w:type="spellStart"/>
      <w:r w:rsidRPr="0089278D">
        <w:rPr>
          <w:rFonts w:ascii="Palatino Linotype" w:hAnsi="Palatino Linotype"/>
          <w:sz w:val="20"/>
        </w:rPr>
        <w:t>Ipa</w:t>
      </w:r>
      <w:proofErr w:type="spellEnd"/>
      <w:r w:rsidRPr="0089278D">
        <w:rPr>
          <w:rFonts w:ascii="Palatino Linotype" w:hAnsi="Palatino Linotype"/>
          <w:sz w:val="20"/>
        </w:rPr>
        <w:t xml:space="preserve"> and </w:t>
      </w:r>
      <w:proofErr w:type="spellStart"/>
      <w:r w:rsidRPr="0089278D">
        <w:rPr>
          <w:rFonts w:ascii="Palatino Linotype" w:hAnsi="Palatino Linotype"/>
          <w:sz w:val="20"/>
        </w:rPr>
        <w:t>Ipc</w:t>
      </w:r>
      <w:proofErr w:type="spellEnd"/>
      <w:r w:rsidRPr="0089278D">
        <w:rPr>
          <w:rFonts w:ascii="Palatino Linotype" w:hAnsi="Palatino Linotype"/>
          <w:sz w:val="20"/>
        </w:rPr>
        <w:t xml:space="preserve"> were calculated: 174.5 (R</w:t>
      </w:r>
      <w:r w:rsidRPr="0089278D">
        <w:rPr>
          <w:rFonts w:ascii="Palatino Linotype" w:hAnsi="Palatino Linotype"/>
          <w:sz w:val="20"/>
          <w:vertAlign w:val="superscript"/>
        </w:rPr>
        <w:t>2</w:t>
      </w:r>
      <w:r w:rsidRPr="0089278D">
        <w:rPr>
          <w:rFonts w:ascii="Palatino Linotype" w:hAnsi="Palatino Linotype"/>
          <w:sz w:val="20"/>
        </w:rPr>
        <w:t xml:space="preserve"> = 0.999) and -174.7 (R</w:t>
      </w:r>
      <w:r w:rsidRPr="0089278D">
        <w:rPr>
          <w:rFonts w:ascii="Palatino Linotype" w:hAnsi="Palatino Linotype"/>
          <w:sz w:val="20"/>
          <w:vertAlign w:val="superscript"/>
        </w:rPr>
        <w:t>2</w:t>
      </w:r>
      <w:r w:rsidRPr="0089278D">
        <w:rPr>
          <w:rFonts w:ascii="Palatino Linotype" w:hAnsi="Palatino Linotype"/>
          <w:sz w:val="20"/>
        </w:rPr>
        <w:t xml:space="preserve"> = 0.999), 138,8 (R</w:t>
      </w:r>
      <w:r w:rsidRPr="0089278D">
        <w:rPr>
          <w:rFonts w:ascii="Palatino Linotype" w:hAnsi="Palatino Linotype"/>
          <w:sz w:val="20"/>
          <w:vertAlign w:val="superscript"/>
        </w:rPr>
        <w:t>2</w:t>
      </w:r>
      <w:r w:rsidRPr="0089278D">
        <w:rPr>
          <w:rFonts w:ascii="Palatino Linotype" w:hAnsi="Palatino Linotype"/>
          <w:sz w:val="20"/>
        </w:rPr>
        <w:t xml:space="preserve"> = 0.998) and -138.2 (R</w:t>
      </w:r>
      <w:r w:rsidRPr="0089278D">
        <w:rPr>
          <w:rFonts w:ascii="Palatino Linotype" w:hAnsi="Palatino Linotype"/>
          <w:sz w:val="20"/>
          <w:vertAlign w:val="superscript"/>
        </w:rPr>
        <w:t>2</w:t>
      </w:r>
      <w:r w:rsidRPr="0089278D">
        <w:rPr>
          <w:rFonts w:ascii="Palatino Linotype" w:hAnsi="Palatino Linotype"/>
          <w:sz w:val="20"/>
        </w:rPr>
        <w:t xml:space="preserve"> = 0.999), 137.7 (R</w:t>
      </w:r>
      <w:r w:rsidRPr="0089278D">
        <w:rPr>
          <w:rFonts w:ascii="Palatino Linotype" w:hAnsi="Palatino Linotype"/>
          <w:sz w:val="20"/>
          <w:vertAlign w:val="superscript"/>
        </w:rPr>
        <w:t>2</w:t>
      </w:r>
      <w:r w:rsidRPr="0089278D">
        <w:rPr>
          <w:rFonts w:ascii="Palatino Linotype" w:hAnsi="Palatino Linotype"/>
          <w:sz w:val="20"/>
        </w:rPr>
        <w:t xml:space="preserve"> = 0.997) and -138.2 (R</w:t>
      </w:r>
      <w:r w:rsidRPr="0089278D">
        <w:rPr>
          <w:rFonts w:ascii="Palatino Linotype" w:hAnsi="Palatino Linotype"/>
          <w:sz w:val="20"/>
          <w:vertAlign w:val="superscript"/>
        </w:rPr>
        <w:t>2</w:t>
      </w:r>
      <w:r w:rsidRPr="0089278D">
        <w:rPr>
          <w:rFonts w:ascii="Palatino Linotype" w:hAnsi="Palatino Linotype"/>
          <w:sz w:val="20"/>
        </w:rPr>
        <w:t xml:space="preserve"> = 0.995), 121.7 (R</w:t>
      </w:r>
      <w:r w:rsidRPr="0089278D">
        <w:rPr>
          <w:rFonts w:ascii="Palatino Linotype" w:hAnsi="Palatino Linotype"/>
          <w:sz w:val="20"/>
          <w:vertAlign w:val="superscript"/>
        </w:rPr>
        <w:t>2</w:t>
      </w:r>
      <w:r w:rsidRPr="0089278D">
        <w:rPr>
          <w:rFonts w:ascii="Palatino Linotype" w:hAnsi="Palatino Linotype"/>
          <w:sz w:val="20"/>
        </w:rPr>
        <w:t xml:space="preserve"> = 0.997) and -120.4 (R</w:t>
      </w:r>
      <w:r w:rsidRPr="0089278D">
        <w:rPr>
          <w:rFonts w:ascii="Palatino Linotype" w:hAnsi="Palatino Linotype"/>
          <w:sz w:val="20"/>
          <w:vertAlign w:val="superscript"/>
        </w:rPr>
        <w:t>2</w:t>
      </w:r>
      <w:r w:rsidRPr="0089278D">
        <w:rPr>
          <w:rFonts w:ascii="Palatino Linotype" w:hAnsi="Palatino Linotype"/>
          <w:sz w:val="20"/>
        </w:rPr>
        <w:t xml:space="preserve"> = 0.997), corresponding respectively to SWNT, MWNT, GNP and bare SPE-based sensor. Moreover, by further manipulating </w:t>
      </w:r>
      <w:r w:rsidRPr="0089278D">
        <w:rPr>
          <w:rFonts w:ascii="Palatino Linotype" w:hAnsi="Palatino Linotype"/>
          <w:sz w:val="20"/>
        </w:rPr>
        <w:fldChar w:fldCharType="begin"/>
      </w:r>
      <w:r w:rsidRPr="0089278D">
        <w:rPr>
          <w:rFonts w:ascii="Palatino Linotype" w:hAnsi="Palatino Linotype"/>
          <w:sz w:val="20"/>
        </w:rPr>
        <w:instrText xml:space="preserve"> ADDIN ZOTERO_ITEM CSL_CITATION {"citationID":"COnI7kCV","properties":{"formattedCitation":"[21]","plainCitation":"[21]","noteIndex":0},"citationItems":[{"id":669,"uris":["http://zotero.org/users/local/R5POecAa/items/LYUGTDLL"],"uri":["http://zotero.org/users/local/R5POecAa/items/LYUGTDLL"],"itemData":{"id":669,"type":"article-journal","container-title":"Electrochemistry Communications","DOI":"10.1016/j.elecom.2020.106862","ISSN":"13882481","journalAbbreviation":"Electrochemistry Communications","language":"en","page":"106862","source":"DOI.org (Crossref)","title":"An inverse-designed electrochemical platform for analytical applications","volume":"121","author":[{"family":"Cancelliere","given":"Rocco"},{"family":"Di Tinno","given":"Alessio"},{"family":"Di Lellis","given":"Andrea Maria"},{"family":"Tedeschi","given":"Yannick"},{"family":"Bellucci","given":"Stefano"},{"family":"Carbone","given":"Katya"},{"family":"Signori","given":"Emanuela"},{"family":"Contini","given":"Giorgio"},{"family":"Micheli","given":"Laura"}],"issued":{"date-parts":[["2020",12]]}}}],"schema":"https://github.com/citation-style-language/schema/raw/master/csl-citation.json"} </w:instrText>
      </w:r>
      <w:r w:rsidRPr="0089278D">
        <w:rPr>
          <w:rFonts w:ascii="Palatino Linotype" w:hAnsi="Palatino Linotype"/>
          <w:sz w:val="20"/>
        </w:rPr>
        <w:fldChar w:fldCharType="separate"/>
      </w:r>
      <w:r w:rsidRPr="0089278D">
        <w:rPr>
          <w:rFonts w:ascii="Palatino Linotype" w:hAnsi="Palatino Linotype"/>
          <w:sz w:val="20"/>
        </w:rPr>
        <w:t>[21]</w:t>
      </w:r>
      <w:r w:rsidRPr="0089278D">
        <w:rPr>
          <w:rFonts w:ascii="Palatino Linotype" w:hAnsi="Palatino Linotype"/>
          <w:sz w:val="20"/>
        </w:rPr>
        <w:fldChar w:fldCharType="end"/>
      </w:r>
      <w:r w:rsidRPr="0089278D">
        <w:rPr>
          <w:rFonts w:ascii="Palatino Linotype" w:hAnsi="Palatino Linotype"/>
          <w:sz w:val="20"/>
        </w:rPr>
        <w:t xml:space="preserve"> Eq. 2 the diffusion coe</w:t>
      </w:r>
      <w:r w:rsidRPr="0089278D">
        <w:rPr>
          <w:rFonts w:ascii="Palatino Linotype" w:hAnsi="Palatino Linotype"/>
          <w:sz w:val="20"/>
        </w:rPr>
        <w:t>f</w:t>
      </w:r>
      <w:r w:rsidRPr="0089278D">
        <w:rPr>
          <w:rFonts w:ascii="Palatino Linotype" w:hAnsi="Palatino Linotype"/>
          <w:sz w:val="20"/>
        </w:rPr>
        <w:t>ficient (D</w:t>
      </w:r>
      <w:r w:rsidRPr="0089278D">
        <w:rPr>
          <w:rFonts w:ascii="Palatino Linotype" w:hAnsi="Palatino Linotype"/>
          <w:sz w:val="20"/>
          <w:vertAlign w:val="subscript"/>
        </w:rPr>
        <w:t>0</w:t>
      </w:r>
      <w:r w:rsidRPr="0089278D">
        <w:rPr>
          <w:rFonts w:ascii="Palatino Linotype" w:hAnsi="Palatino Linotype"/>
          <w:sz w:val="20"/>
        </w:rPr>
        <w:t>), as the average of the anodic and cathodic diffusion coefficient (</w:t>
      </w:r>
      <w:proofErr w:type="spellStart"/>
      <w:r w:rsidRPr="0089278D">
        <w:rPr>
          <w:rFonts w:ascii="Palatino Linotype" w:hAnsi="Palatino Linotype"/>
          <w:sz w:val="20"/>
        </w:rPr>
        <w:t>D</w:t>
      </w:r>
      <w:r w:rsidRPr="0089278D">
        <w:rPr>
          <w:rFonts w:ascii="Palatino Linotype" w:hAnsi="Palatino Linotype"/>
          <w:sz w:val="20"/>
          <w:vertAlign w:val="subscript"/>
        </w:rPr>
        <w:t>Ox</w:t>
      </w:r>
      <w:proofErr w:type="spellEnd"/>
      <w:r w:rsidRPr="0089278D">
        <w:rPr>
          <w:rFonts w:ascii="Palatino Linotype" w:hAnsi="Palatino Linotype"/>
          <w:sz w:val="20"/>
        </w:rPr>
        <w:t xml:space="preserve"> and </w:t>
      </w:r>
      <w:proofErr w:type="spellStart"/>
      <w:r w:rsidRPr="0089278D">
        <w:rPr>
          <w:rFonts w:ascii="Palatino Linotype" w:hAnsi="Palatino Linotype"/>
          <w:sz w:val="20"/>
        </w:rPr>
        <w:t>D</w:t>
      </w:r>
      <w:r w:rsidRPr="0089278D">
        <w:rPr>
          <w:rFonts w:ascii="Palatino Linotype" w:hAnsi="Palatino Linotype"/>
          <w:sz w:val="20"/>
          <w:vertAlign w:val="subscript"/>
        </w:rPr>
        <w:t>Red</w:t>
      </w:r>
      <w:proofErr w:type="spellEnd"/>
      <w:r w:rsidRPr="0089278D">
        <w:rPr>
          <w:rFonts w:ascii="Palatino Linotype" w:hAnsi="Palatino Linotype"/>
          <w:sz w:val="20"/>
        </w:rPr>
        <w:t xml:space="preserve">), was calculated. Precisely, ferro-ferricyanide was used as an electroactive couple using CV as </w:t>
      </w:r>
      <w:proofErr w:type="spellStart"/>
      <w:r w:rsidRPr="0089278D">
        <w:rPr>
          <w:rFonts w:ascii="Palatino Linotype" w:hAnsi="Palatino Linotype"/>
          <w:sz w:val="20"/>
        </w:rPr>
        <w:t>voltammetric</w:t>
      </w:r>
      <w:proofErr w:type="spellEnd"/>
      <w:r w:rsidRPr="0089278D">
        <w:rPr>
          <w:rFonts w:ascii="Palatino Linotype" w:hAnsi="Palatino Linotype"/>
          <w:sz w:val="20"/>
        </w:rPr>
        <w:t xml:space="preserve"> tools with a scan rate of 30 mV/s. By comparing the results reported in Table 1 with those of Konopka and McDuffie reported in our previous work </w:t>
      </w:r>
      <w:r w:rsidRPr="0089278D">
        <w:rPr>
          <w:rFonts w:ascii="Palatino Linotype" w:hAnsi="Palatino Linotype"/>
          <w:sz w:val="20"/>
        </w:rPr>
        <w:fldChar w:fldCharType="begin"/>
      </w:r>
      <w:r w:rsidRPr="0089278D">
        <w:rPr>
          <w:rFonts w:ascii="Palatino Linotype" w:hAnsi="Palatino Linotype"/>
          <w:sz w:val="20"/>
        </w:rPr>
        <w:instrText xml:space="preserve"> ADDIN ZOTERO_ITEM CSL_CITATION {"citationID":"Ht7COzJr","properties":{"formattedCitation":"[29,31]","plainCitation":"[29,31]","noteIndex":0},"citationItems":[{"id":678,"uris":["http://zotero.org/users/local/R5POecAa/items/6X3ZUSWC"],"uri":["http://zotero.org/users/local/R5POecAa/items/6X3ZUSWC"],"itemData":{"id":678,"type":"article-journal","container-title":"Applied Surface Science","DOI":"10.1016/j.apsusc.2021.150791","ISSN":"01694332","journalAbbreviation":"Applied Surface Science","language":"en","page":"150791","source":"DOI.org (Crossref)","title":"Electrochemical and morphological layer-by-layer characterization of electrode interfaces during a label-free impedimetric immunosensor build-up: The case of ochratoxin A","title-short":"Electrochemical and morphological layer-by-layer characterization of electrode interfaces during a label-free impedimetric immunosensor build-up","volume":"567","author":[{"family":"Cancelliere","given":"Rocco"},{"family":"Albano","given":"David"},{"family":"Brugnoli","given":"Benedetta"},{"family":"Buonasera","given":"Katia"},{"family":"Leo","given":"Gabriella"},{"family":"Margonelli","given":"Andrea"},{"family":"Rea","given":"Giuseppina"}],"issued":{"date-parts":[["2021",11]]}},"label":"page"},{"id":680,"uris":["http://zotero.org/users/local/R5POecAa/items/AD6QPJK8"],"uri":["http://zotero.org/users/local/R5POecAa/items/AD6QPJK8"],"itemData":{"id":680,"type":"article-journal","container-title":"Talanta","DOI":"10.1016/j.talanta.2020.121671","ISSN":"00399140","journalAbbreviation":"Talanta","language":"en","page":"121671","source":"DOI.org (Crossref)","title":"Vegetable waste scaffolds for 3D-stem cell proliferating systems and low cost biosensors","volume":"223","author":[{"family":"Cancelliere","given":"Rocco"},{"family":"Zurlo","given":"Francesca"},{"family":"Micheli","given":"Laura"},{"family":"Melino","given":"Sonia"}],"issued":{"date-parts":[["2021",2]]}},"label":"page"}],"schema":"https://github.com/citation-style-language/schema/raw/master/csl-citation.json"} </w:instrText>
      </w:r>
      <w:r w:rsidRPr="0089278D">
        <w:rPr>
          <w:rFonts w:ascii="Palatino Linotype" w:hAnsi="Palatino Linotype"/>
          <w:sz w:val="20"/>
        </w:rPr>
        <w:fldChar w:fldCharType="separate"/>
      </w:r>
      <w:r w:rsidRPr="0089278D">
        <w:rPr>
          <w:rFonts w:ascii="Palatino Linotype" w:hAnsi="Palatino Linotype"/>
          <w:sz w:val="20"/>
        </w:rPr>
        <w:t>[29,3</w:t>
      </w:r>
      <w:r w:rsidR="005D4DA4">
        <w:rPr>
          <w:rFonts w:ascii="Palatino Linotype" w:hAnsi="Palatino Linotype"/>
          <w:sz w:val="20"/>
        </w:rPr>
        <w:t>2</w:t>
      </w:r>
      <w:r w:rsidRPr="0089278D">
        <w:rPr>
          <w:rFonts w:ascii="Palatino Linotype" w:hAnsi="Palatino Linotype"/>
          <w:sz w:val="20"/>
        </w:rPr>
        <w:t>]</w:t>
      </w:r>
      <w:r w:rsidRPr="0089278D">
        <w:rPr>
          <w:rFonts w:ascii="Palatino Linotype" w:hAnsi="Palatino Linotype"/>
          <w:sz w:val="20"/>
        </w:rPr>
        <w:fldChar w:fldCharType="end"/>
      </w:r>
      <w:r w:rsidRPr="0089278D">
        <w:rPr>
          <w:rFonts w:ascii="Palatino Linotype" w:hAnsi="Palatino Linotype"/>
          <w:sz w:val="20"/>
        </w:rPr>
        <w:t>, a very similar diffusional process was assessed. Thus, demonstrating a planar diffusion-controlled process in the oxidation/reduction reactions of the [Fe(CN)</w:t>
      </w:r>
      <w:r w:rsidRPr="0089278D">
        <w:rPr>
          <w:rFonts w:ascii="Palatino Linotype" w:hAnsi="Palatino Linotype"/>
          <w:sz w:val="20"/>
          <w:vertAlign w:val="subscript"/>
        </w:rPr>
        <w:t>6</w:t>
      </w:r>
      <w:r w:rsidRPr="0089278D">
        <w:rPr>
          <w:rFonts w:ascii="Palatino Linotype" w:hAnsi="Palatino Linotype"/>
          <w:sz w:val="20"/>
        </w:rPr>
        <w:t>]</w:t>
      </w:r>
      <w:r w:rsidRPr="0089278D">
        <w:rPr>
          <w:rFonts w:ascii="Palatino Linotype" w:hAnsi="Palatino Linotype"/>
          <w:sz w:val="20"/>
          <w:vertAlign w:val="superscript"/>
        </w:rPr>
        <w:t>-4</w:t>
      </w:r>
      <w:r w:rsidRPr="0089278D">
        <w:rPr>
          <w:rFonts w:ascii="Palatino Linotype" w:hAnsi="Palatino Linotype"/>
          <w:sz w:val="20"/>
        </w:rPr>
        <w:t>/</w:t>
      </w:r>
      <w:r w:rsidRPr="0089278D">
        <w:rPr>
          <w:rFonts w:ascii="Palatino Linotype" w:hAnsi="Palatino Linotype"/>
          <w:sz w:val="20"/>
          <w:vertAlign w:val="superscript"/>
        </w:rPr>
        <w:t>-3</w:t>
      </w:r>
      <w:r w:rsidRPr="0089278D">
        <w:rPr>
          <w:rFonts w:ascii="Palatino Linotype" w:hAnsi="Palatino Linotype"/>
          <w:sz w:val="20"/>
        </w:rPr>
        <w:t xml:space="preserve">. </w:t>
      </w:r>
    </w:p>
    <w:p w:rsidR="0089278D" w:rsidRDefault="00676343" w:rsidP="00676343">
      <w:pPr>
        <w:pStyle w:val="MDPI22heading2"/>
        <w:spacing w:before="240"/>
        <w:ind w:left="1276"/>
      </w:pPr>
      <w:r w:rsidRPr="002E316D">
        <w:rPr>
          <w:rFonts w:ascii="Times New Roman" w:hAnsi="Times New Roman"/>
          <w:sz w:val="22"/>
          <w:lang w:val="it-IT" w:eastAsia="it-IT" w:bidi="ar-SA"/>
        </w:rPr>
        <w:drawing>
          <wp:inline distT="0" distB="0" distL="0" distR="0" wp14:anchorId="06278121" wp14:editId="3491877C">
            <wp:extent cx="5981700" cy="225552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tif"/>
                    <pic:cNvPicPr/>
                  </pic:nvPicPr>
                  <pic:blipFill rotWithShape="1">
                    <a:blip r:embed="rId28">
                      <a:extLst>
                        <a:ext uri="{28A0092B-C50C-407E-A947-70E740481C1C}">
                          <a14:useLocalDpi xmlns:a14="http://schemas.microsoft.com/office/drawing/2010/main" val="0"/>
                        </a:ext>
                      </a:extLst>
                    </a:blip>
                    <a:srcRect l="3549" t="5610" r="6411" b="47578"/>
                    <a:stretch/>
                  </pic:blipFill>
                  <pic:spPr bwMode="auto">
                    <a:xfrm>
                      <a:off x="0" y="0"/>
                      <a:ext cx="5986643" cy="2257384"/>
                    </a:xfrm>
                    <a:prstGeom prst="rect">
                      <a:avLst/>
                    </a:prstGeom>
                    <a:ln>
                      <a:noFill/>
                    </a:ln>
                    <a:extLst>
                      <a:ext uri="{53640926-AAD7-44D8-BBD7-CCE9431645EC}">
                        <a14:shadowObscured xmlns:a14="http://schemas.microsoft.com/office/drawing/2010/main"/>
                      </a:ext>
                    </a:extLst>
                  </pic:spPr>
                </pic:pic>
              </a:graphicData>
            </a:graphic>
          </wp:inline>
        </w:drawing>
      </w:r>
    </w:p>
    <w:p w:rsidR="0089278D" w:rsidRPr="0089278D" w:rsidRDefault="0089278D" w:rsidP="0089278D">
      <w:pPr>
        <w:pStyle w:val="MDPI51figurecaption"/>
      </w:pPr>
      <w:r w:rsidRPr="00F63A9B">
        <w:rPr>
          <w:b/>
        </w:rPr>
        <w:t xml:space="preserve">Figure </w:t>
      </w:r>
      <w:r>
        <w:rPr>
          <w:b/>
        </w:rPr>
        <w:t>4</w:t>
      </w:r>
      <w:r w:rsidRPr="00F63A9B">
        <w:rPr>
          <w:b/>
        </w:rPr>
        <w:t xml:space="preserve">. </w:t>
      </w:r>
      <w:r w:rsidRPr="0089278D">
        <w:rPr>
          <w:szCs w:val="18"/>
        </w:rPr>
        <w:t>Electrochemical characterization of electrode interface after CNMs modification. a) Comparison of the cyclic voltammograms, b) scan rate study (for MWNT-based SPE) and c) linear regression of SWNT, MWNT, GNP and bare SPE obtained using 10</w:t>
      </w:r>
      <w:r w:rsidRPr="0089278D">
        <w:rPr>
          <w:szCs w:val="18"/>
          <w:lang w:val="en-GB"/>
        </w:rPr>
        <w:t xml:space="preserve"> mM [Fe(CN)</w:t>
      </w:r>
      <w:r w:rsidRPr="0089278D">
        <w:rPr>
          <w:szCs w:val="18"/>
          <w:vertAlign w:val="subscript"/>
          <w:lang w:val="en-GB"/>
        </w:rPr>
        <w:t>6</w:t>
      </w:r>
      <w:r w:rsidRPr="0089278D">
        <w:rPr>
          <w:szCs w:val="18"/>
          <w:lang w:val="en-GB"/>
        </w:rPr>
        <w:t>]</w:t>
      </w:r>
      <w:r w:rsidRPr="0089278D">
        <w:rPr>
          <w:szCs w:val="18"/>
          <w:vertAlign w:val="superscript"/>
          <w:lang w:val="en-GB"/>
        </w:rPr>
        <w:t>4- /3-</w:t>
      </w:r>
      <w:r w:rsidRPr="0089278D">
        <w:rPr>
          <w:szCs w:val="18"/>
          <w:lang w:val="en-GB"/>
        </w:rPr>
        <w:t xml:space="preserve"> in 0.05 M PBS. </w:t>
      </w:r>
      <w:r w:rsidRPr="0089278D">
        <w:rPr>
          <w:szCs w:val="18"/>
        </w:rPr>
        <w:t xml:space="preserve">Curves of one representative CNMs-modified SPE sensor of at least 6 </w:t>
      </w:r>
      <w:proofErr w:type="spellStart"/>
      <w:r w:rsidRPr="0089278D">
        <w:rPr>
          <w:szCs w:val="18"/>
        </w:rPr>
        <w:t>analysed</w:t>
      </w:r>
      <w:proofErr w:type="spellEnd"/>
      <w:r w:rsidRPr="0089278D">
        <w:rPr>
          <w:szCs w:val="18"/>
        </w:rPr>
        <w:t xml:space="preserve"> platforms are presented.</w:t>
      </w:r>
    </w:p>
    <w:p w:rsidR="0089278D" w:rsidRPr="0089278D" w:rsidRDefault="0089278D" w:rsidP="0089278D">
      <w:pPr>
        <w:pStyle w:val="MDPI51figurecaption"/>
        <w:rPr>
          <w:sz w:val="20"/>
        </w:rPr>
      </w:pPr>
    </w:p>
    <w:p w:rsidR="0089278D" w:rsidRPr="0089278D" w:rsidRDefault="0089278D" w:rsidP="0089278D">
      <w:pPr>
        <w:pStyle w:val="TAMainText"/>
        <w:spacing w:line="228" w:lineRule="auto"/>
        <w:ind w:left="2694" w:firstLine="425"/>
        <w:rPr>
          <w:rFonts w:ascii="Palatino Linotype" w:hAnsi="Palatino Linotype"/>
          <w:sz w:val="20"/>
        </w:rPr>
      </w:pPr>
      <w:r w:rsidRPr="0089278D">
        <w:rPr>
          <w:rFonts w:ascii="Palatino Linotype" w:hAnsi="Palatino Linotype"/>
          <w:sz w:val="20"/>
        </w:rPr>
        <w:t>To ascertain the effective sensitivity of the CNMs-modified platforms, a prelim</w:t>
      </w:r>
      <w:r w:rsidRPr="0089278D">
        <w:rPr>
          <w:rFonts w:ascii="Palatino Linotype" w:hAnsi="Palatino Linotype"/>
          <w:sz w:val="20"/>
        </w:rPr>
        <w:t>i</w:t>
      </w:r>
      <w:r w:rsidRPr="0089278D">
        <w:rPr>
          <w:rFonts w:ascii="Palatino Linotype" w:hAnsi="Palatino Linotype"/>
          <w:sz w:val="20"/>
        </w:rPr>
        <w:t xml:space="preserve">nary study analyzing different </w:t>
      </w:r>
      <w:r w:rsidRPr="0089278D">
        <w:rPr>
          <w:rFonts w:ascii="Palatino Linotype" w:hAnsi="Palatino Linotype"/>
          <w:sz w:val="20"/>
          <w:lang w:val="en-GB"/>
        </w:rPr>
        <w:t>concentrations of [Fe(CN)</w:t>
      </w:r>
      <w:r w:rsidRPr="0089278D">
        <w:rPr>
          <w:rFonts w:ascii="Palatino Linotype" w:hAnsi="Palatino Linotype"/>
          <w:sz w:val="20"/>
          <w:vertAlign w:val="subscript"/>
          <w:lang w:val="en-GB"/>
        </w:rPr>
        <w:t>6</w:t>
      </w:r>
      <w:r w:rsidRPr="0089278D">
        <w:rPr>
          <w:rFonts w:ascii="Palatino Linotype" w:hAnsi="Palatino Linotype"/>
          <w:sz w:val="20"/>
          <w:lang w:val="en-GB"/>
        </w:rPr>
        <w:t>]</w:t>
      </w:r>
      <w:r w:rsidRPr="0089278D">
        <w:rPr>
          <w:rFonts w:ascii="Palatino Linotype" w:hAnsi="Palatino Linotype"/>
          <w:sz w:val="20"/>
          <w:vertAlign w:val="superscript"/>
          <w:lang w:val="en-GB"/>
        </w:rPr>
        <w:t>4- /3-</w:t>
      </w:r>
      <w:r w:rsidRPr="0089278D">
        <w:rPr>
          <w:rFonts w:ascii="Palatino Linotype" w:hAnsi="Palatino Linotype"/>
          <w:sz w:val="20"/>
        </w:rPr>
        <w:t xml:space="preserve"> </w:t>
      </w:r>
      <w:r w:rsidRPr="0089278D">
        <w:rPr>
          <w:rFonts w:ascii="Palatino Linotype" w:hAnsi="Palatino Linotype"/>
          <w:sz w:val="20"/>
          <w:lang w:val="en-GB"/>
        </w:rPr>
        <w:t>by using SWV as an an</w:t>
      </w:r>
      <w:r w:rsidRPr="0089278D">
        <w:rPr>
          <w:rFonts w:ascii="Palatino Linotype" w:hAnsi="Palatino Linotype"/>
          <w:sz w:val="20"/>
          <w:lang w:val="en-GB"/>
        </w:rPr>
        <w:t>a</w:t>
      </w:r>
      <w:r w:rsidRPr="0089278D">
        <w:rPr>
          <w:rFonts w:ascii="Palatino Linotype" w:hAnsi="Palatino Linotype"/>
          <w:sz w:val="20"/>
          <w:lang w:val="en-GB"/>
        </w:rPr>
        <w:t xml:space="preserve">lytical technique </w:t>
      </w:r>
      <w:r w:rsidRPr="0089278D">
        <w:rPr>
          <w:rFonts w:ascii="Palatino Linotype" w:hAnsi="Palatino Linotype"/>
          <w:sz w:val="20"/>
        </w:rPr>
        <w:t>was carried out</w:t>
      </w:r>
      <w:r w:rsidRPr="0089278D">
        <w:rPr>
          <w:rFonts w:ascii="Palatino Linotype" w:hAnsi="Palatino Linotype"/>
          <w:sz w:val="20"/>
          <w:lang w:val="en-GB"/>
        </w:rPr>
        <w:t>. The limit of detection (LOD), the sensitivity and the reproducibility, calculated</w:t>
      </w:r>
      <w:r w:rsidRPr="0089278D">
        <w:rPr>
          <w:rFonts w:ascii="Palatino Linotype" w:hAnsi="Palatino Linotype"/>
          <w:sz w:val="20"/>
        </w:rPr>
        <w:t xml:space="preserve"> by </w:t>
      </w:r>
      <w:r w:rsidRPr="0089278D">
        <w:rPr>
          <w:rFonts w:ascii="Palatino Linotype" w:hAnsi="Palatino Linotype"/>
          <w:sz w:val="20"/>
          <w:lang w:val="en-GB"/>
        </w:rPr>
        <w:t>analysing the response of a 10 mM electroactive probe using six electrodes fabricated by the uniform procedure, are reported below (Table 1). According to this preliminary electrochemical characterization, SWNT-based platforms resulted in 3, 6 and 22-fold more sensitive than MWNT, GNP and bare SPE-based se</w:t>
      </w:r>
      <w:r w:rsidRPr="0089278D">
        <w:rPr>
          <w:rFonts w:ascii="Palatino Linotype" w:hAnsi="Palatino Linotype"/>
          <w:sz w:val="20"/>
          <w:lang w:val="en-GB"/>
        </w:rPr>
        <w:t>n</w:t>
      </w:r>
      <w:r w:rsidRPr="0089278D">
        <w:rPr>
          <w:rFonts w:ascii="Palatino Linotype" w:hAnsi="Palatino Linotype"/>
          <w:sz w:val="20"/>
          <w:lang w:val="en-GB"/>
        </w:rPr>
        <w:t xml:space="preserve">sors, respectively. Nevertheless, all the </w:t>
      </w:r>
      <w:proofErr w:type="spellStart"/>
      <w:r w:rsidRPr="0089278D">
        <w:rPr>
          <w:rFonts w:ascii="Palatino Linotype" w:hAnsi="Palatino Linotype"/>
          <w:sz w:val="20"/>
          <w:lang w:val="en-GB"/>
        </w:rPr>
        <w:t>nano</w:t>
      </w:r>
      <w:proofErr w:type="spellEnd"/>
      <w:r w:rsidRPr="0089278D">
        <w:rPr>
          <w:rFonts w:ascii="Palatino Linotype" w:hAnsi="Palatino Linotype"/>
          <w:sz w:val="20"/>
          <w:lang w:val="en-GB"/>
        </w:rPr>
        <w:t>-modified platforms share a good repr</w:t>
      </w:r>
      <w:r w:rsidRPr="0089278D">
        <w:rPr>
          <w:rFonts w:ascii="Palatino Linotype" w:hAnsi="Palatino Linotype"/>
          <w:sz w:val="20"/>
          <w:lang w:val="en-GB"/>
        </w:rPr>
        <w:t>o</w:t>
      </w:r>
      <w:r w:rsidRPr="0089278D">
        <w:rPr>
          <w:rFonts w:ascii="Palatino Linotype" w:hAnsi="Palatino Linotype"/>
          <w:sz w:val="20"/>
          <w:lang w:val="en-GB"/>
        </w:rPr>
        <w:t xml:space="preserve">ducibility (RSD </w:t>
      </w:r>
      <w:r w:rsidRPr="0089278D">
        <w:rPr>
          <w:rFonts w:ascii="Times New Roman" w:hAnsi="Times New Roman"/>
          <w:sz w:val="20"/>
          <w:lang w:val="en-GB"/>
        </w:rPr>
        <w:t>̴</w:t>
      </w:r>
      <w:r w:rsidRPr="0089278D">
        <w:rPr>
          <w:rFonts w:ascii="Palatino Linotype" w:hAnsi="Palatino Linotype"/>
          <w:sz w:val="20"/>
          <w:lang w:val="en-GB"/>
        </w:rPr>
        <w:t xml:space="preserve"> 5%) and surface kinetics, as demonstrated from the k</w:t>
      </w:r>
      <w:r w:rsidRPr="0089278D">
        <w:rPr>
          <w:rFonts w:ascii="Palatino Linotype" w:hAnsi="Palatino Linotype"/>
          <w:sz w:val="20"/>
          <w:vertAlign w:val="superscript"/>
          <w:lang w:val="en-GB"/>
        </w:rPr>
        <w:t>0</w:t>
      </w:r>
      <w:r w:rsidRPr="0089278D">
        <w:rPr>
          <w:rFonts w:ascii="Palatino Linotype" w:hAnsi="Palatino Linotype"/>
          <w:sz w:val="20"/>
          <w:lang w:val="en-GB"/>
        </w:rPr>
        <w:t xml:space="preserve"> of the same order of magnitude.</w:t>
      </w:r>
    </w:p>
    <w:p w:rsidR="0089278D" w:rsidRDefault="00A73EE2" w:rsidP="0089278D">
      <w:pPr>
        <w:pStyle w:val="MDPI41tablecaption"/>
      </w:pPr>
      <w:r>
        <w:rPr>
          <w:b/>
        </w:rPr>
        <w:lastRenderedPageBreak/>
        <w:t>Table 1</w:t>
      </w:r>
      <w:r w:rsidRPr="00325902">
        <w:rPr>
          <w:b/>
        </w:rPr>
        <w:t>.</w:t>
      </w:r>
      <w:r w:rsidRPr="00325902">
        <w:t xml:space="preserve"> </w:t>
      </w:r>
      <w:r w:rsidR="0089278D" w:rsidRPr="0089278D">
        <w:rPr>
          <w:szCs w:val="18"/>
        </w:rPr>
        <w:t>Cathodic and anodic peak current intensity and their ratio, electron transfer rate constant (k</w:t>
      </w:r>
      <w:r w:rsidR="0089278D" w:rsidRPr="0089278D">
        <w:rPr>
          <w:szCs w:val="18"/>
          <w:vertAlign w:val="superscript"/>
        </w:rPr>
        <w:t>0</w:t>
      </w:r>
      <w:r w:rsidR="0089278D" w:rsidRPr="0089278D">
        <w:rPr>
          <w:szCs w:val="18"/>
        </w:rPr>
        <w:t>), peak-to-peak separation (ΔV), LOD, sensitivity, reproducibility (RSD%), active surface area (A), diffusion coefficient (D</w:t>
      </w:r>
      <w:r w:rsidR="0089278D" w:rsidRPr="0089278D">
        <w:rPr>
          <w:szCs w:val="18"/>
          <w:vertAlign w:val="subscript"/>
        </w:rPr>
        <w:t>0</w:t>
      </w:r>
      <w:r w:rsidR="0089278D" w:rsidRPr="0089278D">
        <w:rPr>
          <w:szCs w:val="18"/>
        </w:rPr>
        <w:t>) and percentage increase estimated for bare and CNMs-modified SPEs have been reported. All analytical parameters are obtained from cyclic voltammogram traces.</w:t>
      </w:r>
    </w:p>
    <w:tbl>
      <w:tblPr>
        <w:tblW w:w="7456"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354"/>
        <w:gridCol w:w="1559"/>
        <w:gridCol w:w="992"/>
        <w:gridCol w:w="567"/>
        <w:gridCol w:w="851"/>
        <w:gridCol w:w="141"/>
        <w:gridCol w:w="992"/>
      </w:tblGrid>
      <w:tr w:rsidR="000C49F9" w:rsidRPr="001A7DD8" w:rsidTr="000C49F9">
        <w:tc>
          <w:tcPr>
            <w:tcW w:w="2354" w:type="dxa"/>
            <w:tcBorders>
              <w:bottom w:val="single" w:sz="4" w:space="0" w:color="auto"/>
            </w:tcBorders>
            <w:shd w:val="clear" w:color="auto" w:fill="auto"/>
            <w:vAlign w:val="center"/>
          </w:tcPr>
          <w:p w:rsidR="000C49F9" w:rsidRPr="000C49F9" w:rsidRDefault="000C49F9" w:rsidP="000C49F9">
            <w:pPr>
              <w:jc w:val="center"/>
              <w:rPr>
                <w:rFonts w:eastAsia="Times New Roman"/>
                <w:b/>
                <w:i/>
                <w:iCs/>
              </w:rPr>
            </w:pPr>
            <w:r w:rsidRPr="000C49F9">
              <w:rPr>
                <w:rFonts w:eastAsia="Times New Roman"/>
                <w:b/>
              </w:rPr>
              <w:t>[Fe(CN)</w:t>
            </w:r>
            <w:r w:rsidRPr="000C49F9">
              <w:rPr>
                <w:rFonts w:eastAsia="Times New Roman"/>
                <w:b/>
                <w:vertAlign w:val="subscript"/>
              </w:rPr>
              <w:t>6</w:t>
            </w:r>
            <w:r w:rsidRPr="000C49F9">
              <w:rPr>
                <w:rFonts w:eastAsia="Times New Roman"/>
                <w:b/>
              </w:rPr>
              <w:t>]</w:t>
            </w:r>
            <w:r w:rsidRPr="000C49F9">
              <w:rPr>
                <w:rFonts w:eastAsia="Times New Roman"/>
                <w:b/>
                <w:vertAlign w:val="subscript"/>
              </w:rPr>
              <w:t xml:space="preserve"> </w:t>
            </w:r>
            <w:r w:rsidRPr="000C49F9">
              <w:rPr>
                <w:rFonts w:eastAsia="Times New Roman"/>
                <w:b/>
                <w:vertAlign w:val="superscript"/>
              </w:rPr>
              <w:t>4-/3-</w:t>
            </w:r>
            <w:r w:rsidRPr="000C49F9">
              <w:rPr>
                <w:rFonts w:eastAsia="Times New Roman"/>
                <w:b/>
              </w:rPr>
              <w:t xml:space="preserve"> (10 mM)</w:t>
            </w:r>
          </w:p>
        </w:tc>
        <w:tc>
          <w:tcPr>
            <w:tcW w:w="1559" w:type="dxa"/>
            <w:tcBorders>
              <w:bottom w:val="single" w:sz="4" w:space="0" w:color="auto"/>
            </w:tcBorders>
            <w:shd w:val="clear" w:color="auto" w:fill="auto"/>
            <w:vAlign w:val="center"/>
          </w:tcPr>
          <w:p w:rsidR="000C49F9" w:rsidRPr="000C49F9" w:rsidRDefault="000C49F9" w:rsidP="000C49F9">
            <w:pPr>
              <w:spacing w:line="240" w:lineRule="auto"/>
              <w:jc w:val="center"/>
              <w:rPr>
                <w:rFonts w:eastAsia="Times New Roman"/>
                <w:b/>
                <w:noProof w:val="0"/>
                <w:lang w:eastAsia="de-DE" w:bidi="en-US"/>
              </w:rPr>
            </w:pPr>
            <w:r w:rsidRPr="000C49F9">
              <w:rPr>
                <w:rFonts w:eastAsia="Times New Roman"/>
                <w:b/>
                <w:noProof w:val="0"/>
                <w:lang w:eastAsia="de-DE" w:bidi="en-US"/>
              </w:rPr>
              <w:t>Bare</w:t>
            </w:r>
          </w:p>
          <w:p w:rsidR="000C49F9" w:rsidRPr="000C49F9" w:rsidRDefault="000C49F9" w:rsidP="000C49F9">
            <w:pPr>
              <w:spacing w:line="240" w:lineRule="auto"/>
              <w:jc w:val="center"/>
              <w:rPr>
                <w:rFonts w:eastAsia="Times New Roman"/>
                <w:b/>
                <w:noProof w:val="0"/>
                <w:lang w:eastAsia="de-DE" w:bidi="en-US"/>
              </w:rPr>
            </w:pPr>
            <w:r w:rsidRPr="000C49F9">
              <w:rPr>
                <w:rFonts w:eastAsia="Times New Roman"/>
                <w:b/>
                <w:noProof w:val="0"/>
                <w:lang w:eastAsia="de-DE" w:bidi="en-US"/>
              </w:rPr>
              <w:t>Electrode</w:t>
            </w:r>
          </w:p>
        </w:tc>
        <w:tc>
          <w:tcPr>
            <w:tcW w:w="992" w:type="dxa"/>
            <w:tcBorders>
              <w:bottom w:val="single" w:sz="4" w:space="0" w:color="auto"/>
            </w:tcBorders>
            <w:shd w:val="clear" w:color="auto" w:fill="auto"/>
            <w:vAlign w:val="center"/>
          </w:tcPr>
          <w:p w:rsidR="000C49F9" w:rsidRPr="000C49F9" w:rsidRDefault="000C49F9" w:rsidP="000C49F9">
            <w:pPr>
              <w:jc w:val="center"/>
              <w:rPr>
                <w:rFonts w:eastAsia="Times New Roman"/>
                <w:b/>
                <w:noProof w:val="0"/>
                <w:lang w:eastAsia="de-DE" w:bidi="en-US"/>
              </w:rPr>
            </w:pPr>
            <w:r w:rsidRPr="000C49F9">
              <w:rPr>
                <w:rFonts w:eastAsia="Times New Roman"/>
                <w:b/>
                <w:noProof w:val="0"/>
                <w:lang w:eastAsia="de-DE" w:bidi="en-US"/>
              </w:rPr>
              <w:t>SWNT</w:t>
            </w:r>
          </w:p>
        </w:tc>
        <w:tc>
          <w:tcPr>
            <w:tcW w:w="1418" w:type="dxa"/>
            <w:gridSpan w:val="2"/>
            <w:tcBorders>
              <w:bottom w:val="single" w:sz="4" w:space="0" w:color="auto"/>
            </w:tcBorders>
            <w:vAlign w:val="center"/>
          </w:tcPr>
          <w:p w:rsidR="000C49F9" w:rsidRPr="000C49F9" w:rsidRDefault="000C49F9" w:rsidP="000C49F9">
            <w:pPr>
              <w:jc w:val="center"/>
              <w:rPr>
                <w:rFonts w:eastAsia="Times New Roman"/>
                <w:b/>
                <w:noProof w:val="0"/>
                <w:lang w:eastAsia="de-DE" w:bidi="en-US"/>
              </w:rPr>
            </w:pPr>
            <w:r w:rsidRPr="000C49F9">
              <w:rPr>
                <w:rFonts w:eastAsia="Times New Roman"/>
                <w:b/>
                <w:noProof w:val="0"/>
                <w:lang w:eastAsia="de-DE" w:bidi="en-US"/>
              </w:rPr>
              <w:t>MWNT</w:t>
            </w:r>
          </w:p>
        </w:tc>
        <w:tc>
          <w:tcPr>
            <w:tcW w:w="1133" w:type="dxa"/>
            <w:gridSpan w:val="2"/>
            <w:tcBorders>
              <w:bottom w:val="single" w:sz="4" w:space="0" w:color="auto"/>
            </w:tcBorders>
            <w:vAlign w:val="center"/>
          </w:tcPr>
          <w:p w:rsidR="000C49F9" w:rsidRPr="000C49F9" w:rsidRDefault="000C49F9" w:rsidP="000C49F9">
            <w:pPr>
              <w:jc w:val="center"/>
              <w:rPr>
                <w:rFonts w:eastAsia="Times New Roman"/>
                <w:b/>
                <w:noProof w:val="0"/>
                <w:lang w:eastAsia="de-DE" w:bidi="en-US"/>
              </w:rPr>
            </w:pPr>
            <w:r w:rsidRPr="000C49F9">
              <w:rPr>
                <w:rFonts w:eastAsia="Times New Roman"/>
                <w:b/>
                <w:noProof w:val="0"/>
                <w:lang w:eastAsia="de-DE" w:bidi="en-US"/>
              </w:rPr>
              <w:t>GNP</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|Iap| [µA]</w:t>
            </w:r>
          </w:p>
        </w:tc>
        <w:tc>
          <w:tcPr>
            <w:tcW w:w="1559" w:type="dxa"/>
            <w:shd w:val="clear" w:color="auto" w:fill="auto"/>
            <w:vAlign w:val="center"/>
          </w:tcPr>
          <w:p w:rsidR="000C49F9" w:rsidRPr="000C49F9" w:rsidRDefault="000C49F9" w:rsidP="000C49F9">
            <w:pPr>
              <w:jc w:val="center"/>
              <w:rPr>
                <w:rFonts w:eastAsia="Times New Roman"/>
                <w:lang w:val="en-GB"/>
              </w:rPr>
            </w:pPr>
            <w:r w:rsidRPr="000C49F9">
              <w:rPr>
                <w:rFonts w:eastAsia="Times New Roman"/>
                <w:lang w:val="en-GB"/>
              </w:rPr>
              <w:t>17 ± 2</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 xml:space="preserve">325 </w:t>
            </w:r>
            <w:r w:rsidRPr="000C49F9">
              <w:rPr>
                <w:rFonts w:eastAsia="Times New Roman"/>
                <w:lang w:val="en-GB"/>
              </w:rPr>
              <w:t>± 5</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 xml:space="preserve">274 </w:t>
            </w:r>
            <w:r w:rsidRPr="000C49F9">
              <w:rPr>
                <w:rFonts w:eastAsia="Times New Roman"/>
                <w:lang w:val="en-GB"/>
              </w:rPr>
              <w:t>± 4</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 xml:space="preserve">186 </w:t>
            </w:r>
            <w:r w:rsidRPr="000C49F9">
              <w:rPr>
                <w:rFonts w:eastAsia="Times New Roman"/>
                <w:lang w:val="en-GB"/>
              </w:rPr>
              <w:t>± 17</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lang w:val="en-GB"/>
              </w:rPr>
            </w:pPr>
            <w:r w:rsidRPr="000C49F9">
              <w:rPr>
                <w:rFonts w:eastAsia="Times New Roman"/>
                <w:lang w:val="en-GB"/>
              </w:rPr>
              <w:t>|Icp| [µA]</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lang w:val="en-GB"/>
              </w:rPr>
              <w:t>22 ± 1</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 xml:space="preserve">321 </w:t>
            </w:r>
            <w:r w:rsidRPr="000C49F9">
              <w:rPr>
                <w:rFonts w:eastAsia="Times New Roman"/>
                <w:lang w:val="en-GB"/>
              </w:rPr>
              <w:t>± 4</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 xml:space="preserve">269 </w:t>
            </w:r>
            <w:r w:rsidRPr="000C49F9">
              <w:rPr>
                <w:rFonts w:eastAsia="Times New Roman"/>
                <w:lang w:val="en-GB"/>
              </w:rPr>
              <w:t>± 5</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lang w:val="en-GB"/>
              </w:rPr>
              <w:t>181 ± 15</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lang w:val="en-GB"/>
              </w:rPr>
            </w:pPr>
            <w:r w:rsidRPr="000C49F9">
              <w:rPr>
                <w:rFonts w:eastAsia="Times New Roman"/>
                <w:lang w:val="en-GB"/>
              </w:rPr>
              <w:t>|Ipa| / |Ipc|</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lang w:val="en-GB"/>
              </w:rPr>
              <w:t>0.80</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1.01</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1.02</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1.02</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lang w:val="en-GB"/>
              </w:rPr>
            </w:pPr>
            <w:r w:rsidRPr="000C49F9">
              <w:rPr>
                <w:rFonts w:eastAsia="Times New Roman"/>
                <w:i/>
                <w:iCs/>
              </w:rPr>
              <w:t>k</w:t>
            </w:r>
            <w:r w:rsidRPr="000C49F9">
              <w:rPr>
                <w:rFonts w:eastAsia="Times New Roman"/>
                <w:i/>
                <w:iCs/>
                <w:vertAlign w:val="superscript"/>
              </w:rPr>
              <w:t xml:space="preserve">0 </w:t>
            </w:r>
            <w:r w:rsidRPr="000C49F9">
              <w:rPr>
                <w:rFonts w:eastAsia="Times New Roman"/>
              </w:rPr>
              <w:t>[cm/s]</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1.9∙10</w:t>
            </w:r>
            <w:r w:rsidRPr="000C49F9">
              <w:rPr>
                <w:rFonts w:eastAsia="Times New Roman"/>
                <w:vertAlign w:val="superscript"/>
              </w:rPr>
              <w:t>-5</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5.6∙10</w:t>
            </w:r>
            <w:r w:rsidRPr="000C49F9">
              <w:rPr>
                <w:rFonts w:eastAsia="Times New Roman"/>
                <w:vertAlign w:val="superscript"/>
              </w:rPr>
              <w:t>-3</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2.1∙10</w:t>
            </w:r>
            <w:r w:rsidRPr="000C49F9">
              <w:rPr>
                <w:rFonts w:eastAsia="Times New Roman"/>
                <w:vertAlign w:val="superscript"/>
              </w:rPr>
              <w:t>-3</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1.4∙10</w:t>
            </w:r>
            <w:r w:rsidRPr="000C49F9">
              <w:rPr>
                <w:rFonts w:eastAsia="Times New Roman"/>
                <w:vertAlign w:val="superscript"/>
              </w:rPr>
              <w:t>-3</w:t>
            </w:r>
          </w:p>
        </w:tc>
      </w:tr>
      <w:tr w:rsidR="000C49F9" w:rsidRPr="001A7DD8" w:rsidTr="000C49F9">
        <w:tc>
          <w:tcPr>
            <w:tcW w:w="2354" w:type="dxa"/>
            <w:shd w:val="clear" w:color="auto" w:fill="auto"/>
            <w:vAlign w:val="center"/>
          </w:tcPr>
          <w:p w:rsidR="000C49F9" w:rsidRPr="000C49F9" w:rsidRDefault="000C49F9" w:rsidP="000C49F9">
            <w:pPr>
              <w:ind w:left="225"/>
              <w:jc w:val="left"/>
              <w:rPr>
                <w:i/>
                <w:iCs/>
              </w:rPr>
            </w:pPr>
            <w:r w:rsidRPr="000C49F9">
              <w:rPr>
                <w:iCs/>
              </w:rPr>
              <w:t>A [cm</w:t>
            </w:r>
            <w:r w:rsidRPr="000C49F9">
              <w:rPr>
                <w:iCs/>
                <w:vertAlign w:val="superscript"/>
              </w:rPr>
              <w:t>2</w:t>
            </w:r>
            <w:r w:rsidRPr="000C49F9">
              <w:rPr>
                <w:iCs/>
              </w:rPr>
              <w:t>]</w:t>
            </w:r>
          </w:p>
        </w:tc>
        <w:tc>
          <w:tcPr>
            <w:tcW w:w="1559" w:type="dxa"/>
            <w:shd w:val="clear" w:color="auto" w:fill="auto"/>
            <w:vAlign w:val="center"/>
          </w:tcPr>
          <w:p w:rsidR="000C49F9" w:rsidRPr="000C49F9" w:rsidRDefault="000C49F9" w:rsidP="000C49F9">
            <w:pPr>
              <w:jc w:val="center"/>
              <w:rPr>
                <w:lang w:val="en-GB"/>
              </w:rPr>
            </w:pPr>
            <w:r w:rsidRPr="000C49F9">
              <w:rPr>
                <w:lang w:val="en-GB"/>
              </w:rPr>
              <w:t>0.13</w:t>
            </w:r>
          </w:p>
        </w:tc>
        <w:tc>
          <w:tcPr>
            <w:tcW w:w="992" w:type="dxa"/>
            <w:shd w:val="clear" w:color="auto" w:fill="auto"/>
            <w:vAlign w:val="center"/>
          </w:tcPr>
          <w:p w:rsidR="000C49F9" w:rsidRPr="000C49F9" w:rsidRDefault="000C49F9" w:rsidP="000C49F9">
            <w:pPr>
              <w:jc w:val="center"/>
            </w:pPr>
            <w:r w:rsidRPr="000C49F9">
              <w:t>0.58</w:t>
            </w:r>
          </w:p>
        </w:tc>
        <w:tc>
          <w:tcPr>
            <w:tcW w:w="1418" w:type="dxa"/>
            <w:gridSpan w:val="2"/>
            <w:vAlign w:val="center"/>
          </w:tcPr>
          <w:p w:rsidR="000C49F9" w:rsidRPr="000C49F9" w:rsidRDefault="000C49F9" w:rsidP="000C49F9">
            <w:pPr>
              <w:jc w:val="center"/>
            </w:pPr>
            <w:r w:rsidRPr="000C49F9">
              <w:t>0.43</w:t>
            </w:r>
          </w:p>
        </w:tc>
        <w:tc>
          <w:tcPr>
            <w:tcW w:w="1133" w:type="dxa"/>
            <w:gridSpan w:val="2"/>
            <w:vAlign w:val="center"/>
          </w:tcPr>
          <w:p w:rsidR="000C49F9" w:rsidRPr="000C49F9" w:rsidRDefault="000C49F9" w:rsidP="000C49F9">
            <w:pPr>
              <w:jc w:val="center"/>
            </w:pPr>
            <w:r w:rsidRPr="000C49F9">
              <w:t>0.33</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ΔE [mV]</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197</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85</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110</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124</w:t>
            </w:r>
          </w:p>
        </w:tc>
      </w:tr>
      <w:tr w:rsidR="000C49F9" w:rsidRPr="001A7DD8" w:rsidTr="000C49F9">
        <w:tc>
          <w:tcPr>
            <w:tcW w:w="2354" w:type="dxa"/>
            <w:shd w:val="clear" w:color="auto" w:fill="auto"/>
            <w:vAlign w:val="center"/>
          </w:tcPr>
          <w:p w:rsidR="000C49F9" w:rsidRPr="000C49F9" w:rsidRDefault="000C49F9" w:rsidP="000C49F9">
            <w:pPr>
              <w:ind w:left="225"/>
              <w:jc w:val="left"/>
            </w:pPr>
            <w:r w:rsidRPr="000C49F9">
              <w:t>D</w:t>
            </w:r>
            <w:r w:rsidRPr="000C49F9">
              <w:rPr>
                <w:vertAlign w:val="subscript"/>
              </w:rPr>
              <w:t>0</w:t>
            </w:r>
            <w:r w:rsidRPr="000C49F9">
              <w:t xml:space="preserve"> </w:t>
            </w:r>
            <w:r w:rsidRPr="000C49F9">
              <w:rPr>
                <w:iCs/>
              </w:rPr>
              <w:t>[cm</w:t>
            </w:r>
            <w:r w:rsidRPr="000C49F9">
              <w:rPr>
                <w:iCs/>
                <w:vertAlign w:val="superscript"/>
              </w:rPr>
              <w:t>2</w:t>
            </w:r>
            <w:r w:rsidRPr="000C49F9">
              <w:rPr>
                <w:iCs/>
              </w:rPr>
              <w:t>/s]</w:t>
            </w:r>
          </w:p>
        </w:tc>
        <w:tc>
          <w:tcPr>
            <w:tcW w:w="1559" w:type="dxa"/>
            <w:shd w:val="clear" w:color="auto" w:fill="auto"/>
            <w:vAlign w:val="center"/>
          </w:tcPr>
          <w:p w:rsidR="000C49F9" w:rsidRPr="000C49F9" w:rsidRDefault="000C49F9" w:rsidP="000C49F9">
            <w:pPr>
              <w:jc w:val="center"/>
            </w:pPr>
            <w:r w:rsidRPr="000C49F9">
              <w:t>1.7</w:t>
            </w:r>
            <w:r w:rsidRPr="000C49F9">
              <w:rPr>
                <w:rFonts w:eastAsia="Times New Roman"/>
              </w:rPr>
              <w:t>∙10</w:t>
            </w:r>
            <w:r w:rsidRPr="000C49F9">
              <w:rPr>
                <w:rFonts w:eastAsia="Times New Roman"/>
                <w:vertAlign w:val="superscript"/>
              </w:rPr>
              <w:t>-7</w:t>
            </w:r>
          </w:p>
        </w:tc>
        <w:tc>
          <w:tcPr>
            <w:tcW w:w="992" w:type="dxa"/>
            <w:shd w:val="clear" w:color="auto" w:fill="auto"/>
            <w:vAlign w:val="center"/>
          </w:tcPr>
          <w:p w:rsidR="000C49F9" w:rsidRPr="000C49F9" w:rsidRDefault="000C49F9" w:rsidP="000C49F9">
            <w:pPr>
              <w:jc w:val="center"/>
            </w:pPr>
            <w:r w:rsidRPr="000C49F9">
              <w:t>4.6</w:t>
            </w:r>
            <w:r w:rsidRPr="000C49F9">
              <w:rPr>
                <w:rFonts w:eastAsia="Times New Roman"/>
              </w:rPr>
              <w:t>∙10</w:t>
            </w:r>
            <w:r w:rsidRPr="000C49F9">
              <w:rPr>
                <w:rFonts w:eastAsia="Times New Roman"/>
                <w:vertAlign w:val="superscript"/>
              </w:rPr>
              <w:t>-6</w:t>
            </w:r>
          </w:p>
        </w:tc>
        <w:tc>
          <w:tcPr>
            <w:tcW w:w="1418" w:type="dxa"/>
            <w:gridSpan w:val="2"/>
            <w:vAlign w:val="center"/>
          </w:tcPr>
          <w:p w:rsidR="000C49F9" w:rsidRPr="000C49F9" w:rsidRDefault="000C49F9" w:rsidP="000C49F9">
            <w:pPr>
              <w:jc w:val="center"/>
            </w:pPr>
            <w:r w:rsidRPr="000C49F9">
              <w:t>3.3</w:t>
            </w:r>
            <w:r w:rsidRPr="000C49F9">
              <w:rPr>
                <w:rFonts w:eastAsia="Times New Roman"/>
              </w:rPr>
              <w:t>∙10</w:t>
            </w:r>
            <w:r w:rsidRPr="000C49F9">
              <w:rPr>
                <w:rFonts w:eastAsia="Times New Roman"/>
                <w:vertAlign w:val="superscript"/>
              </w:rPr>
              <w:t>-6</w:t>
            </w:r>
          </w:p>
        </w:tc>
        <w:tc>
          <w:tcPr>
            <w:tcW w:w="1133" w:type="dxa"/>
            <w:gridSpan w:val="2"/>
            <w:vAlign w:val="center"/>
          </w:tcPr>
          <w:p w:rsidR="000C49F9" w:rsidRPr="000C49F9" w:rsidRDefault="000C49F9" w:rsidP="000C49F9">
            <w:pPr>
              <w:jc w:val="center"/>
            </w:pPr>
            <w:r w:rsidRPr="000C49F9">
              <w:t>3.5</w:t>
            </w:r>
            <w:r w:rsidRPr="000C49F9">
              <w:rPr>
                <w:rFonts w:eastAsia="Times New Roman"/>
              </w:rPr>
              <w:t>∙10</w:t>
            </w:r>
            <w:r w:rsidRPr="000C49F9">
              <w:rPr>
                <w:rFonts w:eastAsia="Times New Roman"/>
                <w:vertAlign w:val="superscript"/>
              </w:rPr>
              <w:t>-6</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LOD [μM]</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34.8</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1.5</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5.4</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9.4</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Sensitivity [mA/M cm</w:t>
            </w:r>
            <w:r w:rsidRPr="000C49F9">
              <w:rPr>
                <w:rFonts w:eastAsia="Times New Roman"/>
                <w:vertAlign w:val="superscript"/>
              </w:rPr>
              <w:t>2</w:t>
            </w:r>
            <w:r w:rsidRPr="000C49F9">
              <w:rPr>
                <w:rFonts w:eastAsia="Times New Roman"/>
              </w:rPr>
              <w:t>]</w:t>
            </w:r>
          </w:p>
        </w:tc>
        <w:tc>
          <w:tcPr>
            <w:tcW w:w="1559" w:type="dxa"/>
            <w:shd w:val="clear" w:color="auto" w:fill="auto"/>
            <w:vAlign w:val="center"/>
          </w:tcPr>
          <w:p w:rsidR="000C49F9" w:rsidRPr="000C49F9" w:rsidRDefault="000C49F9" w:rsidP="000C49F9">
            <w:pPr>
              <w:jc w:val="center"/>
              <w:rPr>
                <w:rFonts w:eastAsia="Times New Roman"/>
                <w:vertAlign w:val="superscript"/>
              </w:rPr>
            </w:pPr>
            <w:r w:rsidRPr="000C49F9">
              <w:rPr>
                <w:rFonts w:eastAsia="Times New Roman"/>
              </w:rPr>
              <w:t>12</w:t>
            </w:r>
          </w:p>
        </w:tc>
        <w:tc>
          <w:tcPr>
            <w:tcW w:w="992" w:type="dxa"/>
            <w:shd w:val="clear" w:color="auto" w:fill="auto"/>
            <w:vAlign w:val="center"/>
          </w:tcPr>
          <w:p w:rsidR="000C49F9" w:rsidRPr="000C49F9" w:rsidRDefault="000C49F9" w:rsidP="000C49F9">
            <w:pPr>
              <w:jc w:val="center"/>
              <w:rPr>
                <w:rFonts w:eastAsia="Times New Roman"/>
                <w:vertAlign w:val="superscript"/>
              </w:rPr>
            </w:pPr>
            <w:r w:rsidRPr="000C49F9">
              <w:rPr>
                <w:rFonts w:eastAsia="Times New Roman"/>
              </w:rPr>
              <w:t>8.3</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4.5</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6.5</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Reproducibility</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10</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5</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3</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5</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 Increase |I</w:t>
            </w:r>
            <w:r w:rsidRPr="000C49F9">
              <w:rPr>
                <w:rFonts w:eastAsia="Times New Roman"/>
                <w:vertAlign w:val="subscript"/>
              </w:rPr>
              <w:t>pa</w:t>
            </w:r>
            <w:r w:rsidRPr="000C49F9">
              <w:rPr>
                <w:rFonts w:eastAsia="Times New Roman"/>
              </w:rPr>
              <w:t>|</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258</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294</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276</w:t>
            </w:r>
          </w:p>
        </w:tc>
      </w:tr>
      <w:tr w:rsidR="000C49F9" w:rsidRPr="001A7DD8" w:rsidTr="000C49F9">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 Increase |I</w:t>
            </w:r>
            <w:r w:rsidRPr="000C49F9">
              <w:rPr>
                <w:rFonts w:eastAsia="Times New Roman"/>
                <w:vertAlign w:val="subscript"/>
              </w:rPr>
              <w:t>pc</w:t>
            </w:r>
            <w:r w:rsidRPr="000C49F9">
              <w:rPr>
                <w:rFonts w:eastAsia="Times New Roman"/>
              </w:rPr>
              <w:t>|</w:t>
            </w:r>
          </w:p>
        </w:tc>
        <w:tc>
          <w:tcPr>
            <w:tcW w:w="1559" w:type="dxa"/>
            <w:shd w:val="clear" w:color="auto" w:fill="auto"/>
            <w:vAlign w:val="center"/>
          </w:tcPr>
          <w:p w:rsidR="000C49F9" w:rsidRPr="000C49F9" w:rsidRDefault="000C49F9" w:rsidP="000C49F9">
            <w:pPr>
              <w:jc w:val="center"/>
              <w:rPr>
                <w:rFonts w:eastAsia="Times New Roman"/>
              </w:rPr>
            </w:pPr>
            <w:r w:rsidRPr="000C49F9">
              <w:rPr>
                <w:rFonts w:eastAsia="Times New Roman"/>
              </w:rPr>
              <w:t>/</w:t>
            </w:r>
          </w:p>
        </w:tc>
        <w:tc>
          <w:tcPr>
            <w:tcW w:w="992" w:type="dxa"/>
            <w:shd w:val="clear" w:color="auto" w:fill="auto"/>
            <w:vAlign w:val="center"/>
          </w:tcPr>
          <w:p w:rsidR="000C49F9" w:rsidRPr="000C49F9" w:rsidRDefault="000C49F9" w:rsidP="000C49F9">
            <w:pPr>
              <w:jc w:val="center"/>
              <w:rPr>
                <w:rFonts w:eastAsia="Times New Roman"/>
              </w:rPr>
            </w:pPr>
            <w:r w:rsidRPr="000C49F9">
              <w:rPr>
                <w:rFonts w:eastAsia="Times New Roman"/>
              </w:rPr>
              <w:t>480</w:t>
            </w:r>
          </w:p>
        </w:tc>
        <w:tc>
          <w:tcPr>
            <w:tcW w:w="1418" w:type="dxa"/>
            <w:gridSpan w:val="2"/>
            <w:vAlign w:val="center"/>
          </w:tcPr>
          <w:p w:rsidR="000C49F9" w:rsidRPr="000C49F9" w:rsidRDefault="000C49F9" w:rsidP="000C49F9">
            <w:pPr>
              <w:jc w:val="center"/>
              <w:rPr>
                <w:rFonts w:eastAsia="Times New Roman"/>
              </w:rPr>
            </w:pPr>
            <w:r w:rsidRPr="000C49F9">
              <w:rPr>
                <w:rFonts w:eastAsia="Times New Roman"/>
              </w:rPr>
              <w:t>580</w:t>
            </w:r>
          </w:p>
        </w:tc>
        <w:tc>
          <w:tcPr>
            <w:tcW w:w="1133" w:type="dxa"/>
            <w:gridSpan w:val="2"/>
            <w:vAlign w:val="center"/>
          </w:tcPr>
          <w:p w:rsidR="000C49F9" w:rsidRPr="000C49F9" w:rsidRDefault="000C49F9" w:rsidP="000C49F9">
            <w:pPr>
              <w:jc w:val="center"/>
              <w:rPr>
                <w:rFonts w:eastAsia="Times New Roman"/>
              </w:rPr>
            </w:pPr>
            <w:r w:rsidRPr="000C49F9">
              <w:rPr>
                <w:rFonts w:eastAsia="Times New Roman"/>
              </w:rPr>
              <w:t>312</w:t>
            </w:r>
          </w:p>
        </w:tc>
      </w:tr>
      <w:tr w:rsidR="000C49F9" w:rsidRPr="001A7DD8" w:rsidTr="005F1D2E">
        <w:tc>
          <w:tcPr>
            <w:tcW w:w="2354" w:type="dxa"/>
            <w:shd w:val="clear" w:color="auto" w:fill="auto"/>
            <w:vAlign w:val="center"/>
          </w:tcPr>
          <w:p w:rsidR="000C49F9" w:rsidRPr="000C49F9" w:rsidRDefault="000C49F9" w:rsidP="000C49F9">
            <w:pPr>
              <w:ind w:left="225"/>
              <w:jc w:val="left"/>
              <w:rPr>
                <w:rFonts w:eastAsia="Times New Roman"/>
              </w:rPr>
            </w:pPr>
            <w:r w:rsidRPr="000C49F9">
              <w:rPr>
                <w:rFonts w:eastAsia="Times New Roman"/>
              </w:rPr>
              <w:t>|Iap| [µA]</w:t>
            </w:r>
          </w:p>
        </w:tc>
        <w:tc>
          <w:tcPr>
            <w:tcW w:w="1559" w:type="dxa"/>
            <w:shd w:val="clear" w:color="auto" w:fill="auto"/>
            <w:vAlign w:val="center"/>
          </w:tcPr>
          <w:p w:rsidR="000C49F9" w:rsidRPr="000C49F9" w:rsidRDefault="000C49F9" w:rsidP="000C49F9">
            <w:pPr>
              <w:jc w:val="center"/>
              <w:rPr>
                <w:rFonts w:eastAsia="Times New Roman"/>
                <w:lang w:val="en-GB"/>
              </w:rPr>
            </w:pPr>
            <w:r w:rsidRPr="000C49F9">
              <w:rPr>
                <w:rFonts w:eastAsia="Times New Roman"/>
                <w:lang w:val="en-GB"/>
              </w:rPr>
              <w:t>17 ± 2</w:t>
            </w:r>
          </w:p>
        </w:tc>
        <w:tc>
          <w:tcPr>
            <w:tcW w:w="1559" w:type="dxa"/>
            <w:gridSpan w:val="2"/>
            <w:shd w:val="clear" w:color="auto" w:fill="auto"/>
            <w:vAlign w:val="center"/>
          </w:tcPr>
          <w:p w:rsidR="000C49F9" w:rsidRPr="000C49F9" w:rsidRDefault="000C49F9" w:rsidP="000C49F9">
            <w:pPr>
              <w:rPr>
                <w:rFonts w:eastAsia="Times New Roman"/>
              </w:rPr>
            </w:pPr>
            <w:r>
              <w:rPr>
                <w:rFonts w:eastAsia="Times New Roman"/>
              </w:rPr>
              <w:t xml:space="preserve">  </w:t>
            </w:r>
            <w:r w:rsidRPr="000C49F9">
              <w:rPr>
                <w:rFonts w:eastAsia="Times New Roman"/>
              </w:rPr>
              <w:t xml:space="preserve">325 </w:t>
            </w:r>
            <w:r w:rsidRPr="000C49F9">
              <w:rPr>
                <w:rFonts w:eastAsia="Times New Roman"/>
                <w:lang w:val="en-GB"/>
              </w:rPr>
              <w:t>± 5</w:t>
            </w:r>
          </w:p>
        </w:tc>
        <w:tc>
          <w:tcPr>
            <w:tcW w:w="992" w:type="dxa"/>
            <w:gridSpan w:val="2"/>
            <w:vAlign w:val="center"/>
          </w:tcPr>
          <w:p w:rsidR="000C49F9" w:rsidRPr="000C49F9" w:rsidRDefault="000C49F9" w:rsidP="000C49F9">
            <w:pPr>
              <w:rPr>
                <w:rFonts w:eastAsia="Times New Roman"/>
              </w:rPr>
            </w:pPr>
            <w:r w:rsidRPr="000C49F9">
              <w:rPr>
                <w:rFonts w:eastAsia="Times New Roman"/>
              </w:rPr>
              <w:t xml:space="preserve">274 </w:t>
            </w:r>
            <w:r w:rsidRPr="000C49F9">
              <w:rPr>
                <w:rFonts w:eastAsia="Times New Roman"/>
                <w:lang w:val="en-GB"/>
              </w:rPr>
              <w:t>± 4</w:t>
            </w:r>
          </w:p>
        </w:tc>
        <w:tc>
          <w:tcPr>
            <w:tcW w:w="992" w:type="dxa"/>
            <w:vAlign w:val="center"/>
          </w:tcPr>
          <w:p w:rsidR="000C49F9" w:rsidRPr="000C49F9" w:rsidRDefault="000C49F9" w:rsidP="000C49F9">
            <w:pPr>
              <w:rPr>
                <w:rFonts w:eastAsia="Times New Roman"/>
              </w:rPr>
            </w:pPr>
            <w:r>
              <w:rPr>
                <w:rFonts w:eastAsia="Times New Roman"/>
              </w:rPr>
              <w:t xml:space="preserve"> </w:t>
            </w:r>
            <w:r w:rsidRPr="000C49F9">
              <w:rPr>
                <w:rFonts w:eastAsia="Times New Roman"/>
              </w:rPr>
              <w:t xml:space="preserve">186 </w:t>
            </w:r>
            <w:r w:rsidRPr="000C49F9">
              <w:rPr>
                <w:rFonts w:eastAsia="Times New Roman"/>
                <w:lang w:val="en-GB"/>
              </w:rPr>
              <w:t>± 17</w:t>
            </w:r>
          </w:p>
        </w:tc>
      </w:tr>
    </w:tbl>
    <w:p w:rsidR="00A73EE2" w:rsidRDefault="00A73EE2" w:rsidP="000C49F9">
      <w:pPr>
        <w:pStyle w:val="MDPI43tablefooter"/>
        <w:ind w:left="0"/>
      </w:pPr>
    </w:p>
    <w:p w:rsidR="0089278D" w:rsidRDefault="0089278D" w:rsidP="0089278D">
      <w:pPr>
        <w:pStyle w:val="MDPI31text"/>
      </w:pPr>
    </w:p>
    <w:p w:rsidR="00E609D8" w:rsidRDefault="00E609D8" w:rsidP="00E609D8">
      <w:pPr>
        <w:pStyle w:val="MDPI22heading2"/>
        <w:spacing w:before="240"/>
      </w:pPr>
      <w:r w:rsidRPr="001F31D1">
        <w:t>3.</w:t>
      </w:r>
      <w:r>
        <w:t>2</w:t>
      </w:r>
      <w:r w:rsidRPr="001F31D1">
        <w:t xml:space="preserve">. </w:t>
      </w:r>
      <w:r w:rsidRPr="00E609D8">
        <w:t>Analytical performances of CNMs-based sensor for Hydroquinone determination</w:t>
      </w:r>
    </w:p>
    <w:p w:rsidR="00E609D8" w:rsidRDefault="00E609D8" w:rsidP="00E609D8">
      <w:pPr>
        <w:pStyle w:val="MDPI22heading2"/>
        <w:spacing w:before="240"/>
      </w:pPr>
      <w:r w:rsidRPr="001F31D1">
        <w:t>3.</w:t>
      </w:r>
      <w:r>
        <w:t>2</w:t>
      </w:r>
      <w:r w:rsidRPr="001F31D1">
        <w:t>.</w:t>
      </w:r>
      <w:r>
        <w:t>1</w:t>
      </w:r>
      <w:r w:rsidRPr="001F31D1">
        <w:t xml:space="preserve"> </w:t>
      </w:r>
      <w:r w:rsidRPr="00E609D8">
        <w:t>Hydroquinone determination in buffer solution</w:t>
      </w:r>
    </w:p>
    <w:p w:rsidR="00E609D8" w:rsidRPr="00E609D8" w:rsidRDefault="00E609D8" w:rsidP="00E609D8">
      <w:pPr>
        <w:pStyle w:val="TAMainText"/>
        <w:spacing w:line="228" w:lineRule="auto"/>
        <w:ind w:left="2552" w:firstLine="425"/>
        <w:rPr>
          <w:rFonts w:ascii="Palatino Linotype" w:hAnsi="Palatino Linotype"/>
          <w:sz w:val="20"/>
        </w:rPr>
      </w:pPr>
      <w:r w:rsidRPr="00E609D8">
        <w:rPr>
          <w:rFonts w:ascii="Palatino Linotype" w:hAnsi="Palatino Linotype"/>
          <w:sz w:val="20"/>
        </w:rPr>
        <w:t>To ascertain the sensitivity of our nanomodified platforms in the determination of HQ, two different analytical techniques, CV and SWV respectively, were used. In Fig.5 the relative results obtained by analyzing (by CV) several HQ concentrations (from 0 to 10mM) by means of SWNT, MWNT, GNP and bare SPEs were reported. From a visual inspection of Figure 4a, it is possible to confirm that SWNT-based platforms result in the most performing and reproducible (RSD%&lt;5%). In particular, the linear regression (y =</w:t>
      </w:r>
      <w:proofErr w:type="spellStart"/>
      <w:r w:rsidRPr="00E609D8">
        <w:rPr>
          <w:rFonts w:ascii="Palatino Linotype" w:hAnsi="Palatino Linotype"/>
          <w:sz w:val="20"/>
        </w:rPr>
        <w:t>mx+q</w:t>
      </w:r>
      <w:proofErr w:type="spellEnd"/>
      <w:r w:rsidRPr="00E609D8">
        <w:rPr>
          <w:rFonts w:ascii="Palatino Linotype" w:hAnsi="Palatino Linotype"/>
          <w:sz w:val="20"/>
        </w:rPr>
        <w:t>) showed in Figure 5e were obtained by reporting the concentrations of HQ as a function of the relative recorded currents in terms of the “current vs concentrations” slope (m) (650.9, R</w:t>
      </w:r>
      <w:r w:rsidRPr="00E609D8">
        <w:rPr>
          <w:rFonts w:ascii="Palatino Linotype" w:hAnsi="Palatino Linotype"/>
          <w:sz w:val="20"/>
          <w:vertAlign w:val="superscript"/>
        </w:rPr>
        <w:t>2</w:t>
      </w:r>
      <w:r w:rsidRPr="00E609D8">
        <w:rPr>
          <w:rFonts w:ascii="Palatino Linotype" w:hAnsi="Palatino Linotype"/>
          <w:sz w:val="20"/>
        </w:rPr>
        <w:t xml:space="preserve"> = 0.997, 566.4, R</w:t>
      </w:r>
      <w:r w:rsidRPr="00E609D8">
        <w:rPr>
          <w:rFonts w:ascii="Palatino Linotype" w:hAnsi="Palatino Linotype"/>
          <w:sz w:val="20"/>
          <w:vertAlign w:val="superscript"/>
        </w:rPr>
        <w:t>2</w:t>
      </w:r>
      <w:r w:rsidRPr="00E609D8">
        <w:rPr>
          <w:rFonts w:ascii="Palatino Linotype" w:hAnsi="Palatino Linotype"/>
          <w:sz w:val="20"/>
        </w:rPr>
        <w:t xml:space="preserve"> = 0.995, 544.6, R</w:t>
      </w:r>
      <w:r w:rsidRPr="00E609D8">
        <w:rPr>
          <w:rFonts w:ascii="Palatino Linotype" w:hAnsi="Palatino Linotype"/>
          <w:sz w:val="20"/>
          <w:vertAlign w:val="superscript"/>
        </w:rPr>
        <w:t>2</w:t>
      </w:r>
      <w:r w:rsidRPr="00E609D8">
        <w:rPr>
          <w:rFonts w:ascii="Palatino Linotype" w:hAnsi="Palatino Linotype"/>
          <w:sz w:val="20"/>
        </w:rPr>
        <w:t xml:space="preserve"> = 0.995 and 268.2, R</w:t>
      </w:r>
      <w:r w:rsidRPr="00E609D8">
        <w:rPr>
          <w:rFonts w:ascii="Palatino Linotype" w:hAnsi="Palatino Linotype"/>
          <w:sz w:val="20"/>
          <w:vertAlign w:val="superscript"/>
        </w:rPr>
        <w:t>2</w:t>
      </w:r>
      <w:r w:rsidRPr="00E609D8">
        <w:rPr>
          <w:rFonts w:ascii="Palatino Linotype" w:hAnsi="Palatino Linotype"/>
          <w:sz w:val="20"/>
        </w:rPr>
        <w:t xml:space="preserve"> = 0.994), for SWNT, MWNT, GNP and bare SPE). Furthermore, by using the standard deviation (obtained from the current recorded analyzing ten different blank samples) and the slope above reported for each platform, the following limits of detection (LOD) were calculated: 8.5, 11.6, 15.8 and 90.3 </w:t>
      </w:r>
      <w:proofErr w:type="spellStart"/>
      <w:r w:rsidRPr="00E609D8">
        <w:rPr>
          <w:rFonts w:ascii="Palatino Linotype" w:hAnsi="Palatino Linotype"/>
          <w:sz w:val="20"/>
        </w:rPr>
        <w:t>μM</w:t>
      </w:r>
      <w:proofErr w:type="spellEnd"/>
      <w:r w:rsidRPr="00E609D8">
        <w:rPr>
          <w:rFonts w:ascii="Palatino Linotype" w:hAnsi="Palatino Linotype"/>
          <w:sz w:val="20"/>
        </w:rPr>
        <w:t xml:space="preserve"> for SWNT, MWNT, GNP and bare SPE, respectively. Considering these results as good but improvable, we repeated these experiments (6 electrodes for each concentration) using a more performing electrochemical technique as the SWV (see </w:t>
      </w:r>
      <w:r w:rsidRPr="00E609D8">
        <w:rPr>
          <w:rFonts w:ascii="Palatino Linotype" w:hAnsi="Palatino Linotype"/>
          <w:color w:val="000000" w:themeColor="text1"/>
          <w:sz w:val="20"/>
        </w:rPr>
        <w:t xml:space="preserve">Figure 6). As for the CV </w:t>
      </w:r>
      <w:r w:rsidRPr="00E609D8">
        <w:rPr>
          <w:rFonts w:ascii="Palatino Linotype" w:hAnsi="Palatino Linotype"/>
          <w:sz w:val="20"/>
        </w:rPr>
        <w:t xml:space="preserve">results, also in this case the SWNT-modified SPEs result in the most performing platform (Figure 6a) in terms of sensitivity. Moreover, by calculating the LOD for all the proposed sensing devices, the following results were obtained: 0.04, 0.07, 0.3 and 12.3 </w:t>
      </w:r>
      <w:proofErr w:type="spellStart"/>
      <w:r w:rsidRPr="00E609D8">
        <w:rPr>
          <w:rFonts w:ascii="Palatino Linotype" w:hAnsi="Palatino Linotype"/>
          <w:sz w:val="20"/>
        </w:rPr>
        <w:t>μM</w:t>
      </w:r>
      <w:proofErr w:type="spellEnd"/>
      <w:r w:rsidRPr="00E609D8">
        <w:rPr>
          <w:rFonts w:ascii="Palatino Linotype" w:hAnsi="Palatino Linotype"/>
          <w:sz w:val="20"/>
        </w:rPr>
        <w:t xml:space="preserve"> for SWNT, MWNT, GNP and bare SPE-based devices. In addition, be</w:t>
      </w:r>
      <w:r w:rsidRPr="00E609D8">
        <w:rPr>
          <w:rFonts w:ascii="Palatino Linotype" w:hAnsi="Palatino Linotype"/>
          <w:sz w:val="20"/>
        </w:rPr>
        <w:t>n</w:t>
      </w:r>
      <w:r w:rsidRPr="00E609D8">
        <w:rPr>
          <w:rFonts w:ascii="Palatino Linotype" w:hAnsi="Palatino Linotype"/>
          <w:sz w:val="20"/>
        </w:rPr>
        <w:lastRenderedPageBreak/>
        <w:t xml:space="preserve">zoquinone (BQ), as a second important pollutant, was studied, using both CV and SWV, and the relative results are reported in Table 2. For BQ, as for HQ, excellent results in terms of LOD and reproducibility were obtained, thus demonstrating the applicability </w:t>
      </w:r>
      <w:bookmarkStart w:id="2" w:name="_Hlk95482489"/>
      <w:r w:rsidRPr="00E609D8">
        <w:rPr>
          <w:rFonts w:ascii="Palatino Linotype" w:hAnsi="Palatino Linotype"/>
          <w:sz w:val="20"/>
        </w:rPr>
        <w:t xml:space="preserve">of these </w:t>
      </w:r>
      <w:proofErr w:type="spellStart"/>
      <w:r w:rsidRPr="00E609D8">
        <w:rPr>
          <w:rFonts w:ascii="Palatino Linotype" w:hAnsi="Palatino Linotype"/>
          <w:sz w:val="20"/>
        </w:rPr>
        <w:t>nano</w:t>
      </w:r>
      <w:proofErr w:type="spellEnd"/>
      <w:r w:rsidRPr="00E609D8">
        <w:rPr>
          <w:rFonts w:ascii="Palatino Linotype" w:hAnsi="Palatino Linotype"/>
          <w:sz w:val="20"/>
        </w:rPr>
        <w:t>-engineered platforms as rapid, sensitive and accurate lab-on-chip devices for pollutants determinations</w:t>
      </w:r>
      <w:bookmarkEnd w:id="2"/>
      <w:r w:rsidRPr="00E609D8">
        <w:rPr>
          <w:rFonts w:ascii="Palatino Linotype" w:hAnsi="Palatino Linotype"/>
          <w:sz w:val="20"/>
        </w:rPr>
        <w:t>.</w:t>
      </w:r>
    </w:p>
    <w:p w:rsidR="0089278D" w:rsidRDefault="0089278D" w:rsidP="0089278D">
      <w:pPr>
        <w:pStyle w:val="MDPI31text"/>
      </w:pPr>
    </w:p>
    <w:tbl>
      <w:tblPr>
        <w:tblW w:w="0" w:type="auto"/>
        <w:jc w:val="center"/>
        <w:tblLook w:val="0000" w:firstRow="0" w:lastRow="0" w:firstColumn="0" w:lastColumn="0" w:noHBand="0" w:noVBand="0"/>
      </w:tblPr>
      <w:tblGrid>
        <w:gridCol w:w="4057"/>
        <w:gridCol w:w="4268"/>
      </w:tblGrid>
      <w:tr w:rsidR="00E609D8" w:rsidRPr="00196D5A" w:rsidTr="005F1D2E">
        <w:trPr>
          <w:jc w:val="center"/>
        </w:trPr>
        <w:tc>
          <w:tcPr>
            <w:tcW w:w="4057" w:type="dxa"/>
            <w:shd w:val="clear" w:color="auto" w:fill="auto"/>
            <w:vAlign w:val="center"/>
          </w:tcPr>
          <w:p w:rsidR="00E609D8" w:rsidRPr="00196D5A" w:rsidRDefault="00E609D8" w:rsidP="005F1D2E">
            <w:pPr>
              <w:pStyle w:val="MDPI42tablebody"/>
            </w:pPr>
          </w:p>
        </w:tc>
        <w:tc>
          <w:tcPr>
            <w:tcW w:w="4268" w:type="dxa"/>
          </w:tcPr>
          <w:p w:rsidR="00E609D8" w:rsidRPr="00196D5A" w:rsidRDefault="00E609D8" w:rsidP="005F1D2E">
            <w:pPr>
              <w:pStyle w:val="MDPI42tablebody"/>
            </w:pPr>
          </w:p>
        </w:tc>
      </w:tr>
    </w:tbl>
    <w:p w:rsidR="00E609D8" w:rsidRDefault="00676343" w:rsidP="00676343">
      <w:pPr>
        <w:pStyle w:val="MDPI51figurecaption"/>
        <w:ind w:left="1134"/>
        <w:rPr>
          <w:b/>
        </w:rPr>
      </w:pPr>
      <w:r>
        <w:rPr>
          <w:rFonts w:ascii="Times New Roman" w:hAnsi="Times New Roman"/>
          <w:noProof/>
          <w:sz w:val="22"/>
          <w:szCs w:val="22"/>
          <w:lang w:val="it-IT" w:eastAsia="it-IT" w:bidi="ar-SA"/>
        </w:rPr>
        <w:drawing>
          <wp:anchor distT="0" distB="0" distL="114300" distR="114300" simplePos="0" relativeHeight="251671552" behindDoc="0" locked="0" layoutInCell="1" allowOverlap="1" wp14:anchorId="1372C6AD" wp14:editId="353C8C4D">
            <wp:simplePos x="0" y="0"/>
            <wp:positionH relativeFrom="column">
              <wp:posOffset>809625</wp:posOffset>
            </wp:positionH>
            <wp:positionV relativeFrom="paragraph">
              <wp:posOffset>4047490</wp:posOffset>
            </wp:positionV>
            <wp:extent cx="3710940" cy="2126615"/>
            <wp:effectExtent l="0" t="0" r="3810" b="6985"/>
            <wp:wrapNone/>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tte di tarature.tif"/>
                    <pic:cNvPicPr/>
                  </pic:nvPicPr>
                  <pic:blipFill rotWithShape="1">
                    <a:blip r:embed="rId29">
                      <a:extLst>
                        <a:ext uri="{28A0092B-C50C-407E-A947-70E740481C1C}">
                          <a14:useLocalDpi xmlns:a14="http://schemas.microsoft.com/office/drawing/2010/main" val="0"/>
                        </a:ext>
                      </a:extLst>
                    </a:blip>
                    <a:srcRect l="18333" t="16410" r="22179" b="22963"/>
                    <a:stretch/>
                  </pic:blipFill>
                  <pic:spPr bwMode="auto">
                    <a:xfrm>
                      <a:off x="0" y="0"/>
                      <a:ext cx="3710940" cy="2126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noProof/>
          <w:sz w:val="22"/>
          <w:szCs w:val="22"/>
          <w:lang w:val="it-IT" w:eastAsia="it-IT" w:bidi="ar-SA"/>
        </w:rPr>
        <w:drawing>
          <wp:inline distT="0" distB="0" distL="0" distR="0" wp14:anchorId="7469826D" wp14:editId="0EBD767A">
            <wp:extent cx="5367179" cy="3888740"/>
            <wp:effectExtent l="0" t="0" r="508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V finale.tif"/>
                    <pic:cNvPicPr/>
                  </pic:nvPicPr>
                  <pic:blipFill rotWithShape="1">
                    <a:blip r:embed="rId30">
                      <a:extLst>
                        <a:ext uri="{28A0092B-C50C-407E-A947-70E740481C1C}">
                          <a14:useLocalDpi xmlns:a14="http://schemas.microsoft.com/office/drawing/2010/main" val="0"/>
                        </a:ext>
                      </a:extLst>
                    </a:blip>
                    <a:srcRect l="2820" t="684" r="20385" b="399"/>
                    <a:stretch/>
                  </pic:blipFill>
                  <pic:spPr bwMode="auto">
                    <a:xfrm>
                      <a:off x="0" y="0"/>
                      <a:ext cx="5381660" cy="3899232"/>
                    </a:xfrm>
                    <a:prstGeom prst="rect">
                      <a:avLst/>
                    </a:prstGeom>
                    <a:ln>
                      <a:noFill/>
                    </a:ln>
                    <a:extLst>
                      <a:ext uri="{53640926-AAD7-44D8-BBD7-CCE9431645EC}">
                        <a14:shadowObscured xmlns:a14="http://schemas.microsoft.com/office/drawing/2010/main"/>
                      </a:ext>
                    </a:extLst>
                  </pic:spPr>
                </pic:pic>
              </a:graphicData>
            </a:graphic>
          </wp:inline>
        </w:drawing>
      </w:r>
    </w:p>
    <w:p w:rsidR="00E609D8" w:rsidRDefault="00E609D8" w:rsidP="00E609D8">
      <w:pPr>
        <w:pStyle w:val="MDPI51figurecaption"/>
        <w:rPr>
          <w:b/>
        </w:rPr>
      </w:pPr>
    </w:p>
    <w:p w:rsidR="00E609D8" w:rsidRDefault="00E609D8" w:rsidP="00E609D8">
      <w:pPr>
        <w:pStyle w:val="MDPI51figurecaption"/>
        <w:rPr>
          <w:b/>
        </w:rPr>
      </w:pPr>
    </w:p>
    <w:p w:rsidR="00E609D8" w:rsidRDefault="00E609D8" w:rsidP="00E609D8">
      <w:pPr>
        <w:pStyle w:val="MDPI51figurecaption"/>
        <w:rPr>
          <w:b/>
        </w:rPr>
      </w:pPr>
    </w:p>
    <w:p w:rsidR="00E609D8" w:rsidRDefault="00E609D8" w:rsidP="00E609D8">
      <w:pPr>
        <w:pStyle w:val="MDPI51figurecaption"/>
        <w:rPr>
          <w:b/>
        </w:rPr>
      </w:pPr>
    </w:p>
    <w:p w:rsidR="00E609D8" w:rsidRDefault="00E609D8" w:rsidP="00E609D8">
      <w:pPr>
        <w:pStyle w:val="MDPI51figurecaption"/>
        <w:rPr>
          <w:b/>
        </w:rPr>
      </w:pPr>
    </w:p>
    <w:p w:rsidR="00E609D8" w:rsidRDefault="00E609D8" w:rsidP="00E609D8">
      <w:pPr>
        <w:pStyle w:val="MDPI51figurecaption"/>
        <w:rPr>
          <w:b/>
        </w:rPr>
      </w:pPr>
    </w:p>
    <w:p w:rsidR="00E609D8" w:rsidRDefault="00E609D8" w:rsidP="00E609D8">
      <w:pPr>
        <w:pStyle w:val="MDPI51figurecaption"/>
        <w:rPr>
          <w:b/>
        </w:rPr>
      </w:pPr>
    </w:p>
    <w:p w:rsidR="00E609D8" w:rsidRPr="00FA04F1" w:rsidRDefault="00E609D8" w:rsidP="00E609D8">
      <w:pPr>
        <w:pStyle w:val="MDPI51figurecaption"/>
      </w:pPr>
      <w:r w:rsidRPr="00F63A9B">
        <w:rPr>
          <w:b/>
        </w:rPr>
        <w:t xml:space="preserve">Figure </w:t>
      </w:r>
      <w:r>
        <w:rPr>
          <w:b/>
        </w:rPr>
        <w:t>5</w:t>
      </w:r>
      <w:r w:rsidRPr="00F63A9B">
        <w:rPr>
          <w:b/>
        </w:rPr>
        <w:t xml:space="preserve">. </w:t>
      </w:r>
      <w:r w:rsidRPr="00E609D8">
        <w:t>Dose-response voltammograms. Comparison of the CVs obtained analyzing with all our platforms (SWNT, MWNT, GNP and bare SPE) a) the same concentration of HQ (5mM) and b-d) several HQ concentrations (from 0.1μM to 1mM), e) relative linear regressions. Curves of one re</w:t>
      </w:r>
      <w:r w:rsidRPr="00E609D8">
        <w:t>p</w:t>
      </w:r>
      <w:r w:rsidRPr="00E609D8">
        <w:t>resentative CNMs-modified SPE sensor of at least 6 analyzed platforms are presented.</w:t>
      </w:r>
    </w:p>
    <w:bookmarkEnd w:id="1"/>
    <w:p w:rsidR="00E609D8" w:rsidRDefault="00E609D8" w:rsidP="0089278D">
      <w:pPr>
        <w:pStyle w:val="MDPI31text"/>
      </w:pPr>
    </w:p>
    <w:p w:rsidR="00E609D8" w:rsidRDefault="00E609D8" w:rsidP="0089278D">
      <w:pPr>
        <w:pStyle w:val="MDPI31text"/>
      </w:pPr>
    </w:p>
    <w:p w:rsidR="00E609D8" w:rsidRDefault="00E609D8" w:rsidP="0089278D">
      <w:pPr>
        <w:pStyle w:val="MDPI31text"/>
      </w:pPr>
    </w:p>
    <w:p w:rsidR="00974722" w:rsidRDefault="00974722" w:rsidP="00974722">
      <w:pPr>
        <w:pStyle w:val="MDPI51figurecaption"/>
        <w:ind w:left="1418"/>
        <w:rPr>
          <w:b/>
        </w:rPr>
      </w:pPr>
    </w:p>
    <w:p w:rsidR="00676343" w:rsidRDefault="00676343" w:rsidP="00676343">
      <w:pPr>
        <w:pStyle w:val="MDPI51figurecaption"/>
        <w:ind w:left="1418"/>
        <w:rPr>
          <w:b/>
        </w:rPr>
      </w:pPr>
      <w:r>
        <w:rPr>
          <w:rFonts w:ascii="Times New Roman" w:hAnsi="Times New Roman"/>
          <w:noProof/>
          <w:sz w:val="22"/>
          <w:szCs w:val="22"/>
          <w:lang w:val="it-IT" w:eastAsia="it-IT" w:bidi="ar-SA"/>
        </w:rPr>
        <w:drawing>
          <wp:inline distT="0" distB="0" distL="0" distR="0" wp14:anchorId="383165A8" wp14:editId="5A15A164">
            <wp:extent cx="4884420" cy="3889197"/>
            <wp:effectExtent l="0" t="0" r="0"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V finale.tif"/>
                    <pic:cNvPicPr/>
                  </pic:nvPicPr>
                  <pic:blipFill rotWithShape="1">
                    <a:blip r:embed="rId31">
                      <a:extLst>
                        <a:ext uri="{28A0092B-C50C-407E-A947-70E740481C1C}">
                          <a14:useLocalDpi xmlns:a14="http://schemas.microsoft.com/office/drawing/2010/main" val="0"/>
                        </a:ext>
                      </a:extLst>
                    </a:blip>
                    <a:srcRect l="2693" t="912" r="27308"/>
                    <a:stretch/>
                  </pic:blipFill>
                  <pic:spPr bwMode="auto">
                    <a:xfrm>
                      <a:off x="0" y="0"/>
                      <a:ext cx="4925999" cy="3922304"/>
                    </a:xfrm>
                    <a:prstGeom prst="rect">
                      <a:avLst/>
                    </a:prstGeom>
                    <a:ln>
                      <a:noFill/>
                    </a:ln>
                    <a:extLst>
                      <a:ext uri="{53640926-AAD7-44D8-BBD7-CCE9431645EC}">
                        <a14:shadowObscured xmlns:a14="http://schemas.microsoft.com/office/drawing/2010/main"/>
                      </a:ext>
                    </a:extLst>
                  </pic:spPr>
                </pic:pic>
              </a:graphicData>
            </a:graphic>
          </wp:inline>
        </w:drawing>
      </w:r>
    </w:p>
    <w:p w:rsidR="00974722" w:rsidRPr="00FA04F1" w:rsidRDefault="00974722" w:rsidP="00974722">
      <w:pPr>
        <w:pStyle w:val="MDPI51figurecaption"/>
      </w:pPr>
      <w:r w:rsidRPr="00F63A9B">
        <w:rPr>
          <w:b/>
        </w:rPr>
        <w:t xml:space="preserve">Figure </w:t>
      </w:r>
      <w:r>
        <w:rPr>
          <w:b/>
        </w:rPr>
        <w:t>6</w:t>
      </w:r>
      <w:r w:rsidRPr="00F63A9B">
        <w:rPr>
          <w:b/>
        </w:rPr>
        <w:t xml:space="preserve">. </w:t>
      </w:r>
      <w:r w:rsidRPr="00974722">
        <w:t>Dose-response voltammograms. Comparison of the SWVs for different platforms (SWNT, MWNT, GNP and bare SPE) a) at the same concentration of HQ (10mM) and (b-d) at several HQ concentrations (from 0.1 to1mM). Curves of one representative CNMs-modified SPE sensor of at least 6 analyzed platforms are presented.</w:t>
      </w:r>
    </w:p>
    <w:p w:rsidR="00974722" w:rsidRDefault="00974722" w:rsidP="0089278D">
      <w:pPr>
        <w:pStyle w:val="MDPI31text"/>
      </w:pPr>
    </w:p>
    <w:p w:rsidR="00974722" w:rsidRDefault="00974722" w:rsidP="00974722">
      <w:pPr>
        <w:pStyle w:val="MDPI41tablecaption"/>
      </w:pPr>
      <w:r>
        <w:rPr>
          <w:b/>
        </w:rPr>
        <w:t>Table 2</w:t>
      </w:r>
      <w:r w:rsidRPr="00325902">
        <w:rPr>
          <w:b/>
        </w:rPr>
        <w:t>.</w:t>
      </w:r>
      <w:r w:rsidRPr="00325902">
        <w:t xml:space="preserve"> </w:t>
      </w:r>
      <w:r w:rsidRPr="00974722">
        <w:rPr>
          <w:szCs w:val="18"/>
        </w:rPr>
        <w:t xml:space="preserve">Summary of the Limit </w:t>
      </w:r>
      <w:r>
        <w:rPr>
          <w:szCs w:val="18"/>
        </w:rPr>
        <w:t>O</w:t>
      </w:r>
      <w:r w:rsidRPr="00974722">
        <w:rPr>
          <w:szCs w:val="18"/>
        </w:rPr>
        <w:t xml:space="preserve">f </w:t>
      </w:r>
      <w:r>
        <w:rPr>
          <w:szCs w:val="18"/>
        </w:rPr>
        <w:t>D</w:t>
      </w:r>
      <w:r w:rsidRPr="00974722">
        <w:rPr>
          <w:szCs w:val="18"/>
        </w:rPr>
        <w:t>etection</w:t>
      </w:r>
      <w:r>
        <w:rPr>
          <w:szCs w:val="18"/>
        </w:rPr>
        <w:t xml:space="preserve"> (LOD)</w:t>
      </w:r>
      <w:r w:rsidRPr="00974722">
        <w:rPr>
          <w:szCs w:val="18"/>
        </w:rPr>
        <w:t xml:space="preserve"> and reproducibility obtained using CV and SWV in the analyses of several concentrations of HQ and BQ in PBS solution. All analytical p</w:t>
      </w:r>
      <w:r w:rsidRPr="00974722">
        <w:rPr>
          <w:szCs w:val="18"/>
        </w:rPr>
        <w:t>a</w:t>
      </w:r>
      <w:r w:rsidRPr="00974722">
        <w:rPr>
          <w:szCs w:val="18"/>
        </w:rPr>
        <w:t>rameters are obtained from CV and SWV traces.</w:t>
      </w:r>
    </w:p>
    <w:tbl>
      <w:tblPr>
        <w:tblW w:w="7740"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794"/>
        <w:gridCol w:w="2552"/>
        <w:gridCol w:w="1134"/>
        <w:gridCol w:w="850"/>
        <w:gridCol w:w="1276"/>
        <w:gridCol w:w="1134"/>
      </w:tblGrid>
      <w:tr w:rsidR="00676343" w:rsidRPr="001A7DD8" w:rsidTr="00122639">
        <w:tc>
          <w:tcPr>
            <w:tcW w:w="794" w:type="dxa"/>
            <w:tcBorders>
              <w:bottom w:val="single" w:sz="4" w:space="0" w:color="auto"/>
            </w:tcBorders>
            <w:shd w:val="clear" w:color="auto" w:fill="auto"/>
            <w:vAlign w:val="center"/>
          </w:tcPr>
          <w:p w:rsidR="00676343" w:rsidRPr="00676343" w:rsidRDefault="00676343" w:rsidP="00122639">
            <w:pPr>
              <w:jc w:val="center"/>
              <w:rPr>
                <w:rFonts w:eastAsia="Times New Roman"/>
                <w:b/>
                <w:i/>
                <w:iCs/>
              </w:rPr>
            </w:pPr>
          </w:p>
        </w:tc>
        <w:tc>
          <w:tcPr>
            <w:tcW w:w="2552" w:type="dxa"/>
            <w:tcBorders>
              <w:bottom w:val="single" w:sz="4" w:space="0" w:color="auto"/>
            </w:tcBorders>
          </w:tcPr>
          <w:p w:rsidR="00676343" w:rsidRPr="00676343" w:rsidRDefault="00676343" w:rsidP="00122639">
            <w:pPr>
              <w:spacing w:line="240" w:lineRule="auto"/>
              <w:jc w:val="center"/>
              <w:rPr>
                <w:rFonts w:eastAsia="Times New Roman"/>
                <w:b/>
                <w:noProof w:val="0"/>
                <w:lang w:eastAsia="de-DE" w:bidi="en-US"/>
              </w:rPr>
            </w:pPr>
          </w:p>
        </w:tc>
        <w:tc>
          <w:tcPr>
            <w:tcW w:w="1134" w:type="dxa"/>
            <w:tcBorders>
              <w:bottom w:val="single" w:sz="4" w:space="0" w:color="auto"/>
            </w:tcBorders>
            <w:shd w:val="clear" w:color="auto" w:fill="auto"/>
            <w:vAlign w:val="center"/>
          </w:tcPr>
          <w:p w:rsidR="00676343" w:rsidRPr="00676343" w:rsidRDefault="00676343" w:rsidP="00122639">
            <w:pPr>
              <w:spacing w:line="240" w:lineRule="auto"/>
              <w:jc w:val="center"/>
              <w:rPr>
                <w:rFonts w:eastAsia="Times New Roman"/>
                <w:b/>
                <w:noProof w:val="0"/>
                <w:lang w:eastAsia="de-DE" w:bidi="en-US"/>
              </w:rPr>
            </w:pPr>
            <w:r w:rsidRPr="00676343">
              <w:rPr>
                <w:rFonts w:eastAsia="Times New Roman"/>
                <w:b/>
                <w:noProof w:val="0"/>
                <w:lang w:eastAsia="de-DE" w:bidi="en-US"/>
              </w:rPr>
              <w:t>Bare</w:t>
            </w:r>
          </w:p>
          <w:p w:rsidR="00676343" w:rsidRPr="00676343" w:rsidRDefault="00676343" w:rsidP="00122639">
            <w:pPr>
              <w:spacing w:line="240" w:lineRule="auto"/>
              <w:jc w:val="center"/>
              <w:rPr>
                <w:rFonts w:eastAsia="Times New Roman"/>
                <w:b/>
                <w:noProof w:val="0"/>
                <w:lang w:eastAsia="de-DE" w:bidi="en-US"/>
              </w:rPr>
            </w:pPr>
            <w:r w:rsidRPr="00676343">
              <w:rPr>
                <w:rFonts w:eastAsia="Times New Roman"/>
                <w:b/>
                <w:noProof w:val="0"/>
                <w:lang w:eastAsia="de-DE" w:bidi="en-US"/>
              </w:rPr>
              <w:t>Electrode</w:t>
            </w:r>
          </w:p>
        </w:tc>
        <w:tc>
          <w:tcPr>
            <w:tcW w:w="850" w:type="dxa"/>
            <w:tcBorders>
              <w:bottom w:val="single" w:sz="4" w:space="0" w:color="auto"/>
            </w:tcBorders>
            <w:shd w:val="clear" w:color="auto" w:fill="auto"/>
            <w:vAlign w:val="center"/>
          </w:tcPr>
          <w:p w:rsidR="00676343" w:rsidRPr="00676343" w:rsidRDefault="00676343" w:rsidP="00122639">
            <w:pPr>
              <w:jc w:val="center"/>
              <w:rPr>
                <w:rFonts w:eastAsia="Times New Roman"/>
                <w:b/>
                <w:noProof w:val="0"/>
                <w:lang w:eastAsia="de-DE" w:bidi="en-US"/>
              </w:rPr>
            </w:pPr>
            <w:r w:rsidRPr="00676343">
              <w:rPr>
                <w:rFonts w:eastAsia="Times New Roman"/>
                <w:b/>
                <w:noProof w:val="0"/>
                <w:lang w:eastAsia="de-DE" w:bidi="en-US"/>
              </w:rPr>
              <w:t>SWNT</w:t>
            </w:r>
          </w:p>
        </w:tc>
        <w:tc>
          <w:tcPr>
            <w:tcW w:w="1276" w:type="dxa"/>
            <w:tcBorders>
              <w:bottom w:val="single" w:sz="4" w:space="0" w:color="auto"/>
            </w:tcBorders>
            <w:vAlign w:val="center"/>
          </w:tcPr>
          <w:p w:rsidR="00676343" w:rsidRPr="00676343" w:rsidRDefault="00676343" w:rsidP="00122639">
            <w:pPr>
              <w:jc w:val="center"/>
              <w:rPr>
                <w:rFonts w:eastAsia="Times New Roman"/>
                <w:b/>
                <w:noProof w:val="0"/>
                <w:lang w:eastAsia="de-DE" w:bidi="en-US"/>
              </w:rPr>
            </w:pPr>
            <w:r w:rsidRPr="00676343">
              <w:rPr>
                <w:rFonts w:eastAsia="Times New Roman"/>
                <w:b/>
                <w:noProof w:val="0"/>
                <w:lang w:eastAsia="de-DE" w:bidi="en-US"/>
              </w:rPr>
              <w:t>MWNT</w:t>
            </w:r>
          </w:p>
        </w:tc>
        <w:tc>
          <w:tcPr>
            <w:tcW w:w="1134" w:type="dxa"/>
            <w:tcBorders>
              <w:bottom w:val="single" w:sz="4" w:space="0" w:color="auto"/>
            </w:tcBorders>
            <w:vAlign w:val="center"/>
          </w:tcPr>
          <w:p w:rsidR="00676343" w:rsidRPr="00676343" w:rsidRDefault="00676343" w:rsidP="00122639">
            <w:pPr>
              <w:jc w:val="center"/>
              <w:rPr>
                <w:rFonts w:eastAsia="Times New Roman"/>
                <w:b/>
                <w:noProof w:val="0"/>
                <w:lang w:eastAsia="de-DE" w:bidi="en-US"/>
              </w:rPr>
            </w:pPr>
            <w:r w:rsidRPr="00676343">
              <w:rPr>
                <w:rFonts w:eastAsia="Times New Roman"/>
                <w:b/>
                <w:noProof w:val="0"/>
                <w:lang w:eastAsia="de-DE" w:bidi="en-US"/>
              </w:rPr>
              <w:t>GNP</w:t>
            </w:r>
          </w:p>
        </w:tc>
      </w:tr>
      <w:tr w:rsidR="00122639" w:rsidRPr="001A7DD8" w:rsidTr="00122639">
        <w:tc>
          <w:tcPr>
            <w:tcW w:w="7740" w:type="dxa"/>
            <w:gridSpan w:val="6"/>
            <w:tcBorders>
              <w:bottom w:val="single" w:sz="4" w:space="0" w:color="auto"/>
            </w:tcBorders>
            <w:shd w:val="clear" w:color="auto" w:fill="auto"/>
            <w:vAlign w:val="center"/>
          </w:tcPr>
          <w:p w:rsidR="00122639" w:rsidRPr="00676343" w:rsidRDefault="00122639" w:rsidP="00122639">
            <w:pPr>
              <w:jc w:val="center"/>
              <w:rPr>
                <w:rFonts w:eastAsia="Times New Roman"/>
                <w:b/>
                <w:noProof w:val="0"/>
                <w:lang w:eastAsia="de-DE" w:bidi="en-US"/>
              </w:rPr>
            </w:pPr>
            <w:r w:rsidRPr="00676343">
              <w:rPr>
                <w:rFonts w:eastAsia="Times New Roman"/>
                <w:b/>
                <w:lang w:val="en-GB"/>
              </w:rPr>
              <w:t>HydroQuinone (HQ)</w:t>
            </w:r>
          </w:p>
        </w:tc>
      </w:tr>
      <w:tr w:rsidR="00676343" w:rsidRPr="00676343" w:rsidTr="00122639">
        <w:tc>
          <w:tcPr>
            <w:tcW w:w="794" w:type="dxa"/>
            <w:vMerge w:val="restart"/>
            <w:tcBorders>
              <w:top w:val="single" w:sz="4" w:space="0" w:color="auto"/>
              <w:bottom w:val="nil"/>
            </w:tcBorders>
            <w:shd w:val="clear" w:color="auto" w:fill="auto"/>
            <w:vAlign w:val="center"/>
          </w:tcPr>
          <w:p w:rsidR="00676343" w:rsidRPr="00676343" w:rsidRDefault="00676343" w:rsidP="00676343">
            <w:pPr>
              <w:ind w:left="225"/>
              <w:jc w:val="left"/>
              <w:rPr>
                <w:rFonts w:eastAsia="Times New Roman"/>
                <w:lang w:val="en-GB"/>
              </w:rPr>
            </w:pPr>
            <w:r w:rsidRPr="00676343">
              <w:rPr>
                <w:rFonts w:eastAsia="Times New Roman"/>
                <w:lang w:val="en-GB"/>
              </w:rPr>
              <w:t>CV</w:t>
            </w:r>
          </w:p>
        </w:tc>
        <w:tc>
          <w:tcPr>
            <w:tcW w:w="2552" w:type="dxa"/>
            <w:tcBorders>
              <w:top w:val="single" w:sz="4" w:space="0" w:color="auto"/>
              <w:bottom w:val="nil"/>
            </w:tcBorders>
            <w:vAlign w:val="center"/>
          </w:tcPr>
          <w:p w:rsidR="00676343" w:rsidRPr="00676343" w:rsidRDefault="00676343" w:rsidP="00676343">
            <w:pPr>
              <w:jc w:val="center"/>
              <w:rPr>
                <w:rFonts w:eastAsia="Times New Roman"/>
              </w:rPr>
            </w:pPr>
            <w:r w:rsidRPr="00676343">
              <w:rPr>
                <w:rFonts w:eastAsia="Times New Roman"/>
              </w:rPr>
              <w:t>LOD (μM)</w:t>
            </w:r>
          </w:p>
        </w:tc>
        <w:tc>
          <w:tcPr>
            <w:tcW w:w="1134"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lang w:val="en-GB"/>
              </w:rPr>
            </w:pPr>
            <w:r w:rsidRPr="00676343">
              <w:t>90.3</w:t>
            </w:r>
          </w:p>
        </w:tc>
        <w:tc>
          <w:tcPr>
            <w:tcW w:w="850"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8.5</w:t>
            </w:r>
          </w:p>
        </w:tc>
        <w:tc>
          <w:tcPr>
            <w:tcW w:w="1276" w:type="dxa"/>
            <w:tcBorders>
              <w:top w:val="single" w:sz="4" w:space="0" w:color="auto"/>
              <w:bottom w:val="nil"/>
            </w:tcBorders>
            <w:vAlign w:val="center"/>
          </w:tcPr>
          <w:p w:rsidR="00676343" w:rsidRPr="00676343" w:rsidRDefault="00676343" w:rsidP="00676343">
            <w:pPr>
              <w:jc w:val="center"/>
              <w:rPr>
                <w:rFonts w:eastAsia="Times New Roman"/>
              </w:rPr>
            </w:pPr>
            <w:r w:rsidRPr="00676343">
              <w:t>11.6</w:t>
            </w:r>
          </w:p>
        </w:tc>
        <w:tc>
          <w:tcPr>
            <w:tcW w:w="1134" w:type="dxa"/>
            <w:tcBorders>
              <w:top w:val="single" w:sz="4" w:space="0" w:color="auto"/>
              <w:bottom w:val="nil"/>
            </w:tcBorders>
            <w:vAlign w:val="center"/>
          </w:tcPr>
          <w:p w:rsidR="00676343" w:rsidRPr="00676343" w:rsidRDefault="00676343" w:rsidP="00676343">
            <w:pPr>
              <w:jc w:val="center"/>
              <w:rPr>
                <w:rFonts w:eastAsia="Times New Roman"/>
              </w:rPr>
            </w:pPr>
            <w:r w:rsidRPr="00676343">
              <w:t>15.8</w:t>
            </w:r>
          </w:p>
        </w:tc>
      </w:tr>
      <w:tr w:rsidR="00676343" w:rsidRPr="00676343" w:rsidTr="00122639">
        <w:tc>
          <w:tcPr>
            <w:tcW w:w="794" w:type="dxa"/>
            <w:vMerge/>
            <w:tcBorders>
              <w:top w:val="nil"/>
              <w:bottom w:val="single" w:sz="4" w:space="0" w:color="auto"/>
            </w:tcBorders>
            <w:shd w:val="clear" w:color="auto" w:fill="auto"/>
            <w:vAlign w:val="center"/>
          </w:tcPr>
          <w:p w:rsidR="00676343" w:rsidRPr="00676343" w:rsidRDefault="00676343" w:rsidP="00676343">
            <w:pPr>
              <w:ind w:left="225"/>
              <w:jc w:val="left"/>
              <w:rPr>
                <w:rFonts w:eastAsia="Times New Roman"/>
                <w:lang w:val="en-GB"/>
              </w:rPr>
            </w:pPr>
          </w:p>
        </w:tc>
        <w:tc>
          <w:tcPr>
            <w:tcW w:w="2552" w:type="dxa"/>
            <w:tcBorders>
              <w:top w:val="nil"/>
              <w:bottom w:val="single" w:sz="4" w:space="0" w:color="auto"/>
            </w:tcBorders>
            <w:vAlign w:val="center"/>
          </w:tcPr>
          <w:p w:rsidR="00676343" w:rsidRPr="00676343" w:rsidRDefault="00676343" w:rsidP="00676343">
            <w:pPr>
              <w:jc w:val="center"/>
              <w:rPr>
                <w:rFonts w:eastAsia="Times New Roman"/>
                <w:lang w:val="en-GB"/>
              </w:rPr>
            </w:pPr>
            <w:r w:rsidRPr="00676343">
              <w:rPr>
                <w:rFonts w:eastAsia="Times New Roman"/>
                <w:lang w:val="en-GB"/>
              </w:rPr>
              <w:t>Reproducibility (RSD%)</w:t>
            </w:r>
          </w:p>
        </w:tc>
        <w:tc>
          <w:tcPr>
            <w:tcW w:w="1134"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15</w:t>
            </w:r>
          </w:p>
        </w:tc>
        <w:tc>
          <w:tcPr>
            <w:tcW w:w="850"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4</w:t>
            </w:r>
          </w:p>
        </w:tc>
        <w:tc>
          <w:tcPr>
            <w:tcW w:w="1276"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6</w:t>
            </w:r>
          </w:p>
        </w:tc>
        <w:tc>
          <w:tcPr>
            <w:tcW w:w="1134"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7</w:t>
            </w:r>
          </w:p>
        </w:tc>
      </w:tr>
      <w:tr w:rsidR="00676343" w:rsidRPr="00676343" w:rsidTr="00122639">
        <w:tc>
          <w:tcPr>
            <w:tcW w:w="794" w:type="dxa"/>
            <w:vMerge w:val="restart"/>
            <w:tcBorders>
              <w:top w:val="single" w:sz="4" w:space="0" w:color="auto"/>
              <w:bottom w:val="nil"/>
            </w:tcBorders>
            <w:shd w:val="clear" w:color="auto" w:fill="auto"/>
            <w:vAlign w:val="center"/>
          </w:tcPr>
          <w:p w:rsidR="00676343" w:rsidRPr="00676343" w:rsidRDefault="00676343" w:rsidP="00676343">
            <w:pPr>
              <w:ind w:left="225"/>
              <w:jc w:val="left"/>
              <w:rPr>
                <w:rFonts w:eastAsia="Times New Roman"/>
                <w:lang w:val="en-GB"/>
              </w:rPr>
            </w:pPr>
            <w:r w:rsidRPr="00676343">
              <w:rPr>
                <w:rFonts w:eastAsia="Times New Roman"/>
                <w:lang w:val="en-GB"/>
              </w:rPr>
              <w:t>SWV</w:t>
            </w:r>
          </w:p>
        </w:tc>
        <w:tc>
          <w:tcPr>
            <w:tcW w:w="2552" w:type="dxa"/>
            <w:tcBorders>
              <w:top w:val="single" w:sz="4" w:space="0" w:color="auto"/>
              <w:bottom w:val="nil"/>
            </w:tcBorders>
            <w:vAlign w:val="center"/>
          </w:tcPr>
          <w:p w:rsidR="00676343" w:rsidRPr="00676343" w:rsidRDefault="00676343" w:rsidP="00676343">
            <w:pPr>
              <w:jc w:val="center"/>
              <w:rPr>
                <w:rFonts w:eastAsia="Times New Roman"/>
                <w:lang w:val="en-GB"/>
              </w:rPr>
            </w:pPr>
            <w:r w:rsidRPr="00676343">
              <w:rPr>
                <w:rFonts w:eastAsia="Times New Roman"/>
                <w:lang w:val="en-GB"/>
              </w:rPr>
              <w:t xml:space="preserve">LOD </w:t>
            </w:r>
            <w:r w:rsidRPr="00676343">
              <w:rPr>
                <w:rFonts w:eastAsia="Times New Roman"/>
              </w:rPr>
              <w:t>(μM)</w:t>
            </w:r>
          </w:p>
        </w:tc>
        <w:tc>
          <w:tcPr>
            <w:tcW w:w="1134"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12.3</w:t>
            </w:r>
          </w:p>
        </w:tc>
        <w:tc>
          <w:tcPr>
            <w:tcW w:w="850"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0.04</w:t>
            </w:r>
          </w:p>
        </w:tc>
        <w:tc>
          <w:tcPr>
            <w:tcW w:w="1276" w:type="dxa"/>
            <w:tcBorders>
              <w:top w:val="single" w:sz="4" w:space="0" w:color="auto"/>
              <w:bottom w:val="nil"/>
            </w:tcBorders>
            <w:vAlign w:val="center"/>
          </w:tcPr>
          <w:p w:rsidR="00676343" w:rsidRPr="00676343" w:rsidRDefault="00676343" w:rsidP="00676343">
            <w:pPr>
              <w:jc w:val="center"/>
              <w:rPr>
                <w:rFonts w:eastAsia="Times New Roman"/>
              </w:rPr>
            </w:pPr>
            <w:r w:rsidRPr="00676343">
              <w:t>0.07</w:t>
            </w:r>
          </w:p>
        </w:tc>
        <w:tc>
          <w:tcPr>
            <w:tcW w:w="1134" w:type="dxa"/>
            <w:tcBorders>
              <w:top w:val="single" w:sz="4" w:space="0" w:color="auto"/>
              <w:bottom w:val="nil"/>
            </w:tcBorders>
            <w:vAlign w:val="center"/>
          </w:tcPr>
          <w:p w:rsidR="00676343" w:rsidRPr="00676343" w:rsidRDefault="00676343" w:rsidP="00676343">
            <w:pPr>
              <w:jc w:val="center"/>
              <w:rPr>
                <w:rFonts w:eastAsia="Times New Roman"/>
              </w:rPr>
            </w:pPr>
            <w:r w:rsidRPr="00676343">
              <w:t>0.3</w:t>
            </w:r>
          </w:p>
        </w:tc>
      </w:tr>
      <w:tr w:rsidR="00676343" w:rsidRPr="00676343" w:rsidTr="00122639">
        <w:tc>
          <w:tcPr>
            <w:tcW w:w="794" w:type="dxa"/>
            <w:vMerge/>
            <w:tcBorders>
              <w:top w:val="nil"/>
              <w:bottom w:val="single" w:sz="4" w:space="0" w:color="auto"/>
            </w:tcBorders>
            <w:shd w:val="clear" w:color="auto" w:fill="auto"/>
            <w:vAlign w:val="center"/>
          </w:tcPr>
          <w:p w:rsidR="00676343" w:rsidRPr="00676343" w:rsidRDefault="00676343" w:rsidP="00676343">
            <w:pPr>
              <w:ind w:left="225"/>
              <w:jc w:val="left"/>
              <w:rPr>
                <w:i/>
                <w:iCs/>
              </w:rPr>
            </w:pPr>
          </w:p>
        </w:tc>
        <w:tc>
          <w:tcPr>
            <w:tcW w:w="2552" w:type="dxa"/>
            <w:tcBorders>
              <w:top w:val="nil"/>
              <w:bottom w:val="single" w:sz="4" w:space="0" w:color="auto"/>
            </w:tcBorders>
            <w:vAlign w:val="center"/>
          </w:tcPr>
          <w:p w:rsidR="00676343" w:rsidRPr="00676343" w:rsidRDefault="00676343" w:rsidP="00122639">
            <w:pPr>
              <w:jc w:val="center"/>
              <w:rPr>
                <w:rFonts w:eastAsia="Times New Roman"/>
                <w:lang w:val="en-GB"/>
              </w:rPr>
            </w:pPr>
            <w:r w:rsidRPr="00676343">
              <w:rPr>
                <w:rFonts w:eastAsia="Times New Roman"/>
                <w:lang w:val="en-GB"/>
              </w:rPr>
              <w:t>Reproducibility</w:t>
            </w:r>
            <w:r w:rsidR="00122639">
              <w:rPr>
                <w:rFonts w:eastAsia="Times New Roman"/>
                <w:lang w:val="en-GB"/>
              </w:rPr>
              <w:t xml:space="preserve"> </w:t>
            </w:r>
            <w:r w:rsidRPr="00676343">
              <w:rPr>
                <w:rFonts w:eastAsia="Times New Roman"/>
                <w:lang w:val="en-GB"/>
              </w:rPr>
              <w:t>(RSD%)</w:t>
            </w:r>
          </w:p>
        </w:tc>
        <w:tc>
          <w:tcPr>
            <w:tcW w:w="1134"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17</w:t>
            </w:r>
          </w:p>
        </w:tc>
        <w:tc>
          <w:tcPr>
            <w:tcW w:w="850"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5</w:t>
            </w:r>
          </w:p>
        </w:tc>
        <w:tc>
          <w:tcPr>
            <w:tcW w:w="1276"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8</w:t>
            </w:r>
          </w:p>
        </w:tc>
        <w:tc>
          <w:tcPr>
            <w:tcW w:w="1134"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8</w:t>
            </w:r>
          </w:p>
        </w:tc>
      </w:tr>
      <w:tr w:rsidR="00122639" w:rsidRPr="00676343" w:rsidTr="00122639">
        <w:tc>
          <w:tcPr>
            <w:tcW w:w="7740" w:type="dxa"/>
            <w:gridSpan w:val="6"/>
            <w:tcBorders>
              <w:top w:val="single" w:sz="4" w:space="0" w:color="auto"/>
              <w:bottom w:val="nil"/>
            </w:tcBorders>
            <w:shd w:val="clear" w:color="auto" w:fill="auto"/>
            <w:vAlign w:val="center"/>
          </w:tcPr>
          <w:p w:rsidR="00122639" w:rsidRPr="00676343" w:rsidRDefault="00122639" w:rsidP="00676343">
            <w:pPr>
              <w:jc w:val="center"/>
            </w:pPr>
            <w:r w:rsidRPr="00676343">
              <w:rPr>
                <w:rFonts w:eastAsia="Times New Roman"/>
                <w:b/>
                <w:lang w:val="en-GB"/>
              </w:rPr>
              <w:t>BenzoQuinone (BQ)</w:t>
            </w:r>
          </w:p>
        </w:tc>
      </w:tr>
      <w:tr w:rsidR="00122639" w:rsidRPr="00676343" w:rsidTr="00122639">
        <w:tc>
          <w:tcPr>
            <w:tcW w:w="794" w:type="dxa"/>
            <w:vMerge w:val="restart"/>
            <w:tcBorders>
              <w:top w:val="single" w:sz="4" w:space="0" w:color="auto"/>
              <w:bottom w:val="nil"/>
            </w:tcBorders>
            <w:shd w:val="clear" w:color="auto" w:fill="auto"/>
            <w:vAlign w:val="center"/>
          </w:tcPr>
          <w:p w:rsidR="00676343" w:rsidRPr="00676343" w:rsidRDefault="00676343" w:rsidP="00676343">
            <w:pPr>
              <w:ind w:left="225"/>
              <w:jc w:val="left"/>
              <w:rPr>
                <w:rFonts w:eastAsia="Times New Roman"/>
                <w:lang w:val="en-GB"/>
              </w:rPr>
            </w:pPr>
            <w:r w:rsidRPr="00676343">
              <w:rPr>
                <w:rFonts w:eastAsia="Times New Roman"/>
                <w:lang w:val="en-GB"/>
              </w:rPr>
              <w:t>CV</w:t>
            </w:r>
          </w:p>
        </w:tc>
        <w:tc>
          <w:tcPr>
            <w:tcW w:w="2552" w:type="dxa"/>
            <w:tcBorders>
              <w:top w:val="single" w:sz="4" w:space="0" w:color="auto"/>
              <w:bottom w:val="nil"/>
            </w:tcBorders>
            <w:vAlign w:val="center"/>
          </w:tcPr>
          <w:p w:rsidR="00676343" w:rsidRPr="00676343" w:rsidRDefault="00676343" w:rsidP="00676343">
            <w:pPr>
              <w:jc w:val="center"/>
              <w:rPr>
                <w:rFonts w:eastAsia="Times New Roman"/>
              </w:rPr>
            </w:pPr>
            <w:r w:rsidRPr="00676343">
              <w:rPr>
                <w:rFonts w:eastAsia="Times New Roman"/>
              </w:rPr>
              <w:t>LOD (μM)</w:t>
            </w:r>
          </w:p>
        </w:tc>
        <w:tc>
          <w:tcPr>
            <w:tcW w:w="1134"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95.7</w:t>
            </w:r>
          </w:p>
        </w:tc>
        <w:tc>
          <w:tcPr>
            <w:tcW w:w="850"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9.3</w:t>
            </w:r>
          </w:p>
        </w:tc>
        <w:tc>
          <w:tcPr>
            <w:tcW w:w="1276" w:type="dxa"/>
            <w:tcBorders>
              <w:top w:val="single" w:sz="4" w:space="0" w:color="auto"/>
              <w:bottom w:val="nil"/>
            </w:tcBorders>
            <w:vAlign w:val="center"/>
          </w:tcPr>
          <w:p w:rsidR="00676343" w:rsidRPr="00676343" w:rsidRDefault="00676343" w:rsidP="00676343">
            <w:pPr>
              <w:jc w:val="center"/>
              <w:rPr>
                <w:rFonts w:eastAsia="Times New Roman"/>
              </w:rPr>
            </w:pPr>
            <w:r w:rsidRPr="00676343">
              <w:t>12.3</w:t>
            </w:r>
          </w:p>
        </w:tc>
        <w:tc>
          <w:tcPr>
            <w:tcW w:w="1134" w:type="dxa"/>
            <w:tcBorders>
              <w:top w:val="single" w:sz="4" w:space="0" w:color="auto"/>
              <w:bottom w:val="nil"/>
            </w:tcBorders>
            <w:vAlign w:val="center"/>
          </w:tcPr>
          <w:p w:rsidR="00676343" w:rsidRPr="00676343" w:rsidRDefault="00676343" w:rsidP="00676343">
            <w:pPr>
              <w:jc w:val="center"/>
              <w:rPr>
                <w:rFonts w:eastAsia="Times New Roman"/>
              </w:rPr>
            </w:pPr>
            <w:r w:rsidRPr="00676343">
              <w:t>17.5</w:t>
            </w:r>
          </w:p>
        </w:tc>
      </w:tr>
      <w:tr w:rsidR="00122639" w:rsidRPr="00676343" w:rsidTr="00122639">
        <w:tc>
          <w:tcPr>
            <w:tcW w:w="794" w:type="dxa"/>
            <w:vMerge/>
            <w:tcBorders>
              <w:top w:val="nil"/>
              <w:bottom w:val="single" w:sz="4" w:space="0" w:color="auto"/>
            </w:tcBorders>
            <w:shd w:val="clear" w:color="auto" w:fill="auto"/>
            <w:vAlign w:val="center"/>
          </w:tcPr>
          <w:p w:rsidR="00676343" w:rsidRPr="00676343" w:rsidRDefault="00676343" w:rsidP="00676343">
            <w:pPr>
              <w:ind w:left="225"/>
              <w:jc w:val="left"/>
              <w:rPr>
                <w:rFonts w:eastAsia="Times New Roman"/>
                <w:lang w:val="en-GB"/>
              </w:rPr>
            </w:pPr>
          </w:p>
        </w:tc>
        <w:tc>
          <w:tcPr>
            <w:tcW w:w="2552" w:type="dxa"/>
            <w:tcBorders>
              <w:top w:val="nil"/>
              <w:bottom w:val="single" w:sz="4" w:space="0" w:color="auto"/>
            </w:tcBorders>
            <w:vAlign w:val="center"/>
          </w:tcPr>
          <w:p w:rsidR="00676343" w:rsidRPr="00676343" w:rsidRDefault="00676343" w:rsidP="00676343">
            <w:pPr>
              <w:jc w:val="center"/>
              <w:rPr>
                <w:rFonts w:eastAsia="Times New Roman"/>
                <w:lang w:val="en-GB"/>
              </w:rPr>
            </w:pPr>
            <w:r w:rsidRPr="00676343">
              <w:rPr>
                <w:rFonts w:eastAsia="Times New Roman"/>
                <w:lang w:val="en-GB"/>
              </w:rPr>
              <w:t>Reproducibility (RSD%)</w:t>
            </w:r>
          </w:p>
        </w:tc>
        <w:tc>
          <w:tcPr>
            <w:tcW w:w="1134" w:type="dxa"/>
            <w:tcBorders>
              <w:top w:val="nil"/>
              <w:bottom w:val="single" w:sz="4" w:space="0" w:color="auto"/>
            </w:tcBorders>
            <w:shd w:val="clear" w:color="auto" w:fill="auto"/>
            <w:vAlign w:val="center"/>
          </w:tcPr>
          <w:p w:rsidR="00676343" w:rsidRPr="00676343" w:rsidRDefault="00676343" w:rsidP="00676343">
            <w:pPr>
              <w:jc w:val="center"/>
            </w:pPr>
            <w:r w:rsidRPr="00676343">
              <w:rPr>
                <w:rFonts w:eastAsia="Times New Roman"/>
              </w:rPr>
              <w:t>15</w:t>
            </w:r>
          </w:p>
        </w:tc>
        <w:tc>
          <w:tcPr>
            <w:tcW w:w="850" w:type="dxa"/>
            <w:tcBorders>
              <w:top w:val="nil"/>
              <w:bottom w:val="single" w:sz="4" w:space="0" w:color="auto"/>
            </w:tcBorders>
            <w:shd w:val="clear" w:color="auto" w:fill="auto"/>
            <w:vAlign w:val="center"/>
          </w:tcPr>
          <w:p w:rsidR="00676343" w:rsidRPr="00676343" w:rsidRDefault="00676343" w:rsidP="00676343">
            <w:pPr>
              <w:jc w:val="center"/>
            </w:pPr>
            <w:r w:rsidRPr="00676343">
              <w:rPr>
                <w:rFonts w:eastAsia="Times New Roman"/>
              </w:rPr>
              <w:t>5</w:t>
            </w:r>
          </w:p>
        </w:tc>
        <w:tc>
          <w:tcPr>
            <w:tcW w:w="1276" w:type="dxa"/>
            <w:tcBorders>
              <w:top w:val="nil"/>
              <w:bottom w:val="single" w:sz="4" w:space="0" w:color="auto"/>
            </w:tcBorders>
            <w:vAlign w:val="center"/>
          </w:tcPr>
          <w:p w:rsidR="00676343" w:rsidRPr="00676343" w:rsidRDefault="00676343" w:rsidP="00676343">
            <w:pPr>
              <w:jc w:val="center"/>
            </w:pPr>
            <w:r w:rsidRPr="00676343">
              <w:rPr>
                <w:rFonts w:eastAsia="Times New Roman"/>
              </w:rPr>
              <w:t>5</w:t>
            </w:r>
          </w:p>
        </w:tc>
        <w:tc>
          <w:tcPr>
            <w:tcW w:w="1134" w:type="dxa"/>
            <w:tcBorders>
              <w:top w:val="nil"/>
              <w:bottom w:val="single" w:sz="4" w:space="0" w:color="auto"/>
            </w:tcBorders>
            <w:vAlign w:val="center"/>
          </w:tcPr>
          <w:p w:rsidR="00676343" w:rsidRPr="00676343" w:rsidRDefault="00676343" w:rsidP="00676343">
            <w:pPr>
              <w:jc w:val="center"/>
            </w:pPr>
            <w:r w:rsidRPr="00676343">
              <w:rPr>
                <w:rFonts w:eastAsia="Times New Roman"/>
              </w:rPr>
              <w:t>8</w:t>
            </w:r>
          </w:p>
        </w:tc>
      </w:tr>
      <w:tr w:rsidR="00122639" w:rsidRPr="00676343" w:rsidTr="00122639">
        <w:tc>
          <w:tcPr>
            <w:tcW w:w="794" w:type="dxa"/>
            <w:vMerge w:val="restart"/>
            <w:tcBorders>
              <w:top w:val="single" w:sz="4" w:space="0" w:color="auto"/>
              <w:bottom w:val="nil"/>
            </w:tcBorders>
            <w:shd w:val="clear" w:color="auto" w:fill="auto"/>
            <w:vAlign w:val="center"/>
          </w:tcPr>
          <w:p w:rsidR="00676343" w:rsidRPr="00676343" w:rsidRDefault="00676343" w:rsidP="00676343">
            <w:pPr>
              <w:ind w:left="225"/>
              <w:jc w:val="left"/>
              <w:rPr>
                <w:rFonts w:eastAsia="Times New Roman"/>
                <w:lang w:val="en-GB"/>
              </w:rPr>
            </w:pPr>
            <w:r w:rsidRPr="00676343">
              <w:rPr>
                <w:rFonts w:eastAsia="Times New Roman"/>
                <w:lang w:val="en-GB"/>
              </w:rPr>
              <w:t>SWV</w:t>
            </w:r>
          </w:p>
        </w:tc>
        <w:tc>
          <w:tcPr>
            <w:tcW w:w="2552" w:type="dxa"/>
            <w:tcBorders>
              <w:top w:val="single" w:sz="4" w:space="0" w:color="auto"/>
              <w:bottom w:val="nil"/>
            </w:tcBorders>
            <w:vAlign w:val="center"/>
          </w:tcPr>
          <w:p w:rsidR="00676343" w:rsidRPr="00676343" w:rsidRDefault="00676343" w:rsidP="00676343">
            <w:pPr>
              <w:jc w:val="center"/>
              <w:rPr>
                <w:rFonts w:eastAsia="Times New Roman"/>
                <w:lang w:val="en-GB"/>
              </w:rPr>
            </w:pPr>
            <w:r w:rsidRPr="00676343">
              <w:rPr>
                <w:rFonts w:eastAsia="Times New Roman"/>
                <w:lang w:val="en-GB"/>
              </w:rPr>
              <w:t xml:space="preserve">LOD </w:t>
            </w:r>
            <w:r w:rsidRPr="00676343">
              <w:rPr>
                <w:rFonts w:eastAsia="Times New Roman"/>
              </w:rPr>
              <w:t>(μM)</w:t>
            </w:r>
          </w:p>
        </w:tc>
        <w:tc>
          <w:tcPr>
            <w:tcW w:w="1134"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rPr>
            </w:pPr>
            <w:r w:rsidRPr="00676343">
              <w:t>17.3</w:t>
            </w:r>
          </w:p>
        </w:tc>
        <w:tc>
          <w:tcPr>
            <w:tcW w:w="850" w:type="dxa"/>
            <w:tcBorders>
              <w:top w:val="single" w:sz="4" w:space="0" w:color="auto"/>
              <w:bottom w:val="nil"/>
            </w:tcBorders>
            <w:shd w:val="clear" w:color="auto" w:fill="auto"/>
            <w:vAlign w:val="center"/>
          </w:tcPr>
          <w:p w:rsidR="00676343" w:rsidRPr="00676343" w:rsidRDefault="00676343" w:rsidP="00676343">
            <w:pPr>
              <w:jc w:val="center"/>
              <w:rPr>
                <w:rFonts w:eastAsia="Times New Roman"/>
                <w:highlight w:val="yellow"/>
              </w:rPr>
            </w:pPr>
            <w:r w:rsidRPr="00676343">
              <w:t>0.05</w:t>
            </w:r>
          </w:p>
        </w:tc>
        <w:tc>
          <w:tcPr>
            <w:tcW w:w="1276" w:type="dxa"/>
            <w:tcBorders>
              <w:top w:val="single" w:sz="4" w:space="0" w:color="auto"/>
              <w:bottom w:val="nil"/>
            </w:tcBorders>
            <w:vAlign w:val="center"/>
          </w:tcPr>
          <w:p w:rsidR="00676343" w:rsidRPr="00676343" w:rsidRDefault="00676343" w:rsidP="00676343">
            <w:pPr>
              <w:jc w:val="center"/>
              <w:rPr>
                <w:rFonts w:eastAsia="Times New Roman"/>
                <w:highlight w:val="yellow"/>
              </w:rPr>
            </w:pPr>
            <w:r w:rsidRPr="00676343">
              <w:t>0.08</w:t>
            </w:r>
          </w:p>
        </w:tc>
        <w:tc>
          <w:tcPr>
            <w:tcW w:w="1134" w:type="dxa"/>
            <w:tcBorders>
              <w:top w:val="single" w:sz="4" w:space="0" w:color="auto"/>
              <w:bottom w:val="nil"/>
            </w:tcBorders>
            <w:vAlign w:val="center"/>
          </w:tcPr>
          <w:p w:rsidR="00676343" w:rsidRPr="00676343" w:rsidRDefault="00676343" w:rsidP="00676343">
            <w:pPr>
              <w:jc w:val="center"/>
              <w:rPr>
                <w:rFonts w:eastAsia="Times New Roman"/>
                <w:highlight w:val="yellow"/>
              </w:rPr>
            </w:pPr>
            <w:r w:rsidRPr="00676343">
              <w:t>1.4</w:t>
            </w:r>
          </w:p>
        </w:tc>
      </w:tr>
      <w:tr w:rsidR="00122639" w:rsidRPr="00676343" w:rsidTr="00122639">
        <w:tc>
          <w:tcPr>
            <w:tcW w:w="794" w:type="dxa"/>
            <w:vMerge/>
            <w:tcBorders>
              <w:top w:val="nil"/>
              <w:bottom w:val="single" w:sz="4" w:space="0" w:color="auto"/>
            </w:tcBorders>
            <w:shd w:val="clear" w:color="auto" w:fill="auto"/>
            <w:vAlign w:val="center"/>
          </w:tcPr>
          <w:p w:rsidR="00676343" w:rsidRPr="00676343" w:rsidRDefault="00676343" w:rsidP="00676343">
            <w:pPr>
              <w:ind w:left="225"/>
              <w:jc w:val="left"/>
              <w:rPr>
                <w:i/>
                <w:iCs/>
              </w:rPr>
            </w:pPr>
          </w:p>
        </w:tc>
        <w:tc>
          <w:tcPr>
            <w:tcW w:w="2552" w:type="dxa"/>
            <w:tcBorders>
              <w:top w:val="nil"/>
              <w:bottom w:val="single" w:sz="4" w:space="0" w:color="auto"/>
            </w:tcBorders>
            <w:vAlign w:val="center"/>
          </w:tcPr>
          <w:p w:rsidR="00676343" w:rsidRPr="00676343" w:rsidRDefault="00676343" w:rsidP="00122639">
            <w:pPr>
              <w:jc w:val="center"/>
              <w:rPr>
                <w:rFonts w:eastAsia="Times New Roman"/>
                <w:lang w:val="en-GB"/>
              </w:rPr>
            </w:pPr>
            <w:r w:rsidRPr="00676343">
              <w:rPr>
                <w:rFonts w:eastAsia="Times New Roman"/>
                <w:lang w:val="en-GB"/>
              </w:rPr>
              <w:t>Reproducibility</w:t>
            </w:r>
            <w:r w:rsidR="00122639">
              <w:rPr>
                <w:rFonts w:eastAsia="Times New Roman"/>
                <w:lang w:val="en-GB"/>
              </w:rPr>
              <w:t xml:space="preserve"> </w:t>
            </w:r>
            <w:r w:rsidRPr="00676343">
              <w:rPr>
                <w:rFonts w:eastAsia="Times New Roman"/>
                <w:lang w:val="en-GB"/>
              </w:rPr>
              <w:t>(RSD%)</w:t>
            </w:r>
          </w:p>
        </w:tc>
        <w:tc>
          <w:tcPr>
            <w:tcW w:w="1134"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18</w:t>
            </w:r>
          </w:p>
        </w:tc>
        <w:tc>
          <w:tcPr>
            <w:tcW w:w="850" w:type="dxa"/>
            <w:tcBorders>
              <w:top w:val="nil"/>
              <w:bottom w:val="single" w:sz="4" w:space="0" w:color="auto"/>
            </w:tcBorders>
            <w:shd w:val="clear" w:color="auto" w:fill="auto"/>
            <w:vAlign w:val="center"/>
          </w:tcPr>
          <w:p w:rsidR="00676343" w:rsidRPr="00676343" w:rsidRDefault="00676343" w:rsidP="00676343">
            <w:pPr>
              <w:jc w:val="center"/>
              <w:rPr>
                <w:rFonts w:eastAsia="Times New Roman"/>
              </w:rPr>
            </w:pPr>
            <w:r w:rsidRPr="00676343">
              <w:rPr>
                <w:rFonts w:eastAsia="Times New Roman"/>
              </w:rPr>
              <w:t>6</w:t>
            </w:r>
          </w:p>
        </w:tc>
        <w:tc>
          <w:tcPr>
            <w:tcW w:w="1276"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7</w:t>
            </w:r>
          </w:p>
        </w:tc>
        <w:tc>
          <w:tcPr>
            <w:tcW w:w="1134" w:type="dxa"/>
            <w:tcBorders>
              <w:top w:val="nil"/>
              <w:bottom w:val="single" w:sz="4" w:space="0" w:color="auto"/>
            </w:tcBorders>
            <w:vAlign w:val="center"/>
          </w:tcPr>
          <w:p w:rsidR="00676343" w:rsidRPr="00676343" w:rsidRDefault="00676343" w:rsidP="00676343">
            <w:pPr>
              <w:jc w:val="center"/>
              <w:rPr>
                <w:rFonts w:eastAsia="Times New Roman"/>
              </w:rPr>
            </w:pPr>
            <w:r w:rsidRPr="00676343">
              <w:rPr>
                <w:rFonts w:eastAsia="Times New Roman"/>
              </w:rPr>
              <w:t>9</w:t>
            </w:r>
          </w:p>
        </w:tc>
      </w:tr>
    </w:tbl>
    <w:p w:rsidR="00974722" w:rsidRPr="0089278D" w:rsidRDefault="00974722" w:rsidP="00122639">
      <w:pPr>
        <w:pStyle w:val="MDPI31text"/>
        <w:ind w:left="0" w:firstLine="0"/>
      </w:pPr>
    </w:p>
    <w:p w:rsidR="00A73EE2" w:rsidRDefault="00A73EE2" w:rsidP="00567B5A">
      <w:pPr>
        <w:pStyle w:val="MDPI31text"/>
        <w:spacing w:before="240"/>
      </w:pPr>
    </w:p>
    <w:p w:rsidR="00127C3A" w:rsidRDefault="00127C3A" w:rsidP="00127C3A">
      <w:pPr>
        <w:pStyle w:val="MDPI22heading2"/>
        <w:spacing w:before="240"/>
      </w:pPr>
      <w:r w:rsidRPr="00127C3A">
        <w:t>3.2.2</w:t>
      </w:r>
      <w:r w:rsidRPr="00127C3A">
        <w:tab/>
        <w:t>Hydroquinone and benzoquinone determination in water</w:t>
      </w:r>
    </w:p>
    <w:p w:rsidR="00127C3A" w:rsidRPr="00127C3A" w:rsidRDefault="00127C3A" w:rsidP="00127C3A">
      <w:pPr>
        <w:pStyle w:val="TAMainText"/>
        <w:spacing w:line="228" w:lineRule="auto"/>
        <w:ind w:left="2694" w:firstLine="425"/>
        <w:rPr>
          <w:rFonts w:ascii="Palatino Linotype" w:hAnsi="Palatino Linotype"/>
          <w:sz w:val="20"/>
        </w:rPr>
      </w:pPr>
      <w:r w:rsidRPr="00127C3A">
        <w:rPr>
          <w:rFonts w:ascii="Palatino Linotype" w:hAnsi="Palatino Linotype"/>
          <w:sz w:val="20"/>
        </w:rPr>
        <w:t>To ascertain the applicability of the developed CNMs-based platforms in a real matrix, a careful</w:t>
      </w:r>
      <w:r>
        <w:rPr>
          <w:rFonts w:ascii="Palatino Linotype" w:hAnsi="Palatino Linotype"/>
          <w:sz w:val="20"/>
        </w:rPr>
        <w:t xml:space="preserve"> </w:t>
      </w:r>
      <w:proofErr w:type="spellStart"/>
      <w:r w:rsidRPr="00127C3A">
        <w:rPr>
          <w:rFonts w:ascii="Palatino Linotype" w:hAnsi="Palatino Linotype"/>
          <w:sz w:val="20"/>
        </w:rPr>
        <w:t>voltammetric</w:t>
      </w:r>
      <w:proofErr w:type="spellEnd"/>
      <w:r w:rsidRPr="00127C3A">
        <w:rPr>
          <w:rFonts w:ascii="Palatino Linotype" w:hAnsi="Palatino Linotype"/>
          <w:sz w:val="20"/>
        </w:rPr>
        <w:t xml:space="preserve"> (CV and SWV) study at different concentrations (from 0.1 </w:t>
      </w:r>
      <w:proofErr w:type="spellStart"/>
      <w:r w:rsidRPr="00127C3A">
        <w:rPr>
          <w:rFonts w:ascii="Palatino Linotype" w:hAnsi="Palatino Linotype"/>
          <w:sz w:val="20"/>
        </w:rPr>
        <w:t>μM</w:t>
      </w:r>
      <w:proofErr w:type="spellEnd"/>
      <w:r w:rsidRPr="00127C3A">
        <w:rPr>
          <w:rFonts w:ascii="Palatino Linotype" w:hAnsi="Palatino Linotype"/>
          <w:sz w:val="20"/>
        </w:rPr>
        <w:t xml:space="preserve"> to 10 </w:t>
      </w:r>
      <w:proofErr w:type="spellStart"/>
      <w:r w:rsidRPr="00127C3A">
        <w:rPr>
          <w:rFonts w:ascii="Palatino Linotype" w:hAnsi="Palatino Linotype"/>
          <w:sz w:val="20"/>
        </w:rPr>
        <w:t>mM</w:t>
      </w:r>
      <w:proofErr w:type="spellEnd"/>
      <w:r w:rsidRPr="00127C3A">
        <w:rPr>
          <w:rFonts w:ascii="Palatino Linotype" w:hAnsi="Palatino Linotype"/>
          <w:sz w:val="20"/>
        </w:rPr>
        <w:t>) of HQ and BQ in water samples was carried out. The results (see Table 3) are very encouraging for both the pollutants employed, proving the efficacy of this method as a rapid environmental control system. In particular, the linear regression (m) obtained analyzing HQ-spiked water sample with CV and SWV, respectively, for all the sensors at our disposal are: 31.6 (R</w:t>
      </w:r>
      <w:r w:rsidRPr="00127C3A">
        <w:rPr>
          <w:rFonts w:ascii="Palatino Linotype" w:hAnsi="Palatino Linotype"/>
          <w:sz w:val="20"/>
          <w:vertAlign w:val="superscript"/>
        </w:rPr>
        <w:t>2</w:t>
      </w:r>
      <w:r w:rsidRPr="00127C3A">
        <w:rPr>
          <w:rFonts w:ascii="Palatino Linotype" w:hAnsi="Palatino Linotype"/>
          <w:sz w:val="20"/>
        </w:rPr>
        <w:t xml:space="preserve"> = 0.994) and 42.8 (R</w:t>
      </w:r>
      <w:r w:rsidRPr="00127C3A">
        <w:rPr>
          <w:rFonts w:ascii="Palatino Linotype" w:hAnsi="Palatino Linotype"/>
          <w:sz w:val="20"/>
          <w:vertAlign w:val="superscript"/>
        </w:rPr>
        <w:t>2</w:t>
      </w:r>
      <w:r w:rsidRPr="00127C3A">
        <w:rPr>
          <w:rFonts w:ascii="Palatino Linotype" w:hAnsi="Palatino Linotype"/>
          <w:sz w:val="20"/>
        </w:rPr>
        <w:t xml:space="preserve"> = 0.998), 27.9 (R</w:t>
      </w:r>
      <w:r w:rsidRPr="00127C3A">
        <w:rPr>
          <w:rFonts w:ascii="Palatino Linotype" w:hAnsi="Palatino Linotype"/>
          <w:sz w:val="20"/>
          <w:vertAlign w:val="superscript"/>
        </w:rPr>
        <w:t>2</w:t>
      </w:r>
      <w:r w:rsidRPr="00127C3A">
        <w:rPr>
          <w:rFonts w:ascii="Palatino Linotype" w:hAnsi="Palatino Linotype"/>
          <w:sz w:val="20"/>
        </w:rPr>
        <w:t xml:space="preserve"> = 0.994) and 31.3 (R</w:t>
      </w:r>
      <w:r w:rsidRPr="00127C3A">
        <w:rPr>
          <w:rFonts w:ascii="Palatino Linotype" w:hAnsi="Palatino Linotype"/>
          <w:sz w:val="20"/>
          <w:vertAlign w:val="superscript"/>
        </w:rPr>
        <w:t>2</w:t>
      </w:r>
      <w:r w:rsidRPr="00127C3A">
        <w:rPr>
          <w:rFonts w:ascii="Palatino Linotype" w:hAnsi="Palatino Linotype"/>
          <w:sz w:val="20"/>
        </w:rPr>
        <w:t xml:space="preserve"> = 0.997), 19.2 (R</w:t>
      </w:r>
      <w:r w:rsidRPr="00127C3A">
        <w:rPr>
          <w:rFonts w:ascii="Palatino Linotype" w:hAnsi="Palatino Linotype"/>
          <w:sz w:val="20"/>
          <w:vertAlign w:val="superscript"/>
        </w:rPr>
        <w:t>2</w:t>
      </w:r>
      <w:r w:rsidRPr="00127C3A">
        <w:rPr>
          <w:rFonts w:ascii="Palatino Linotype" w:hAnsi="Palatino Linotype"/>
          <w:sz w:val="20"/>
        </w:rPr>
        <w:t xml:space="preserve"> = 0.994) and 26.7 (R</w:t>
      </w:r>
      <w:r w:rsidRPr="00127C3A">
        <w:rPr>
          <w:rFonts w:ascii="Palatino Linotype" w:hAnsi="Palatino Linotype"/>
          <w:sz w:val="20"/>
          <w:vertAlign w:val="superscript"/>
        </w:rPr>
        <w:t>2</w:t>
      </w:r>
      <w:r w:rsidRPr="00127C3A">
        <w:rPr>
          <w:rFonts w:ascii="Palatino Linotype" w:hAnsi="Palatino Linotype"/>
          <w:sz w:val="20"/>
        </w:rPr>
        <w:t xml:space="preserve"> = 0.997), 13.4 (R</w:t>
      </w:r>
      <w:r w:rsidRPr="00127C3A">
        <w:rPr>
          <w:rFonts w:ascii="Palatino Linotype" w:hAnsi="Palatino Linotype"/>
          <w:sz w:val="20"/>
          <w:vertAlign w:val="superscript"/>
        </w:rPr>
        <w:t>2</w:t>
      </w:r>
      <w:r w:rsidRPr="00127C3A">
        <w:rPr>
          <w:rFonts w:ascii="Palatino Linotype" w:hAnsi="Palatino Linotype"/>
          <w:sz w:val="20"/>
        </w:rPr>
        <w:t xml:space="preserve"> = 0.992) and 19.8 (R</w:t>
      </w:r>
      <w:r w:rsidRPr="00127C3A">
        <w:rPr>
          <w:rFonts w:ascii="Palatino Linotype" w:hAnsi="Palatino Linotype"/>
          <w:sz w:val="20"/>
          <w:vertAlign w:val="superscript"/>
        </w:rPr>
        <w:t>2</w:t>
      </w:r>
      <w:r w:rsidRPr="00127C3A">
        <w:rPr>
          <w:rFonts w:ascii="Palatino Linotype" w:hAnsi="Palatino Linotype"/>
          <w:sz w:val="20"/>
        </w:rPr>
        <w:t xml:space="preserve"> = 0.993), for SWNT, MWNT, GNP and bare SPE-based sensors. Whereas, the slope o</w:t>
      </w:r>
      <w:r w:rsidRPr="00127C3A">
        <w:rPr>
          <w:rFonts w:ascii="Palatino Linotype" w:hAnsi="Palatino Linotype"/>
          <w:sz w:val="20"/>
        </w:rPr>
        <w:t>b</w:t>
      </w:r>
      <w:r w:rsidRPr="00127C3A">
        <w:rPr>
          <w:rFonts w:ascii="Palatino Linotype" w:hAnsi="Palatino Linotype"/>
          <w:sz w:val="20"/>
        </w:rPr>
        <w:t>tained for the BQ-spiked water sample are: 17.3 (R</w:t>
      </w:r>
      <w:r w:rsidRPr="00127C3A">
        <w:rPr>
          <w:rFonts w:ascii="Palatino Linotype" w:hAnsi="Palatino Linotype"/>
          <w:sz w:val="20"/>
          <w:vertAlign w:val="superscript"/>
        </w:rPr>
        <w:t>2</w:t>
      </w:r>
      <w:r w:rsidRPr="00127C3A">
        <w:rPr>
          <w:rFonts w:ascii="Palatino Linotype" w:hAnsi="Palatino Linotype"/>
          <w:sz w:val="20"/>
        </w:rPr>
        <w:t xml:space="preserve"> = 0.996) and 170.4 (R</w:t>
      </w:r>
      <w:r w:rsidRPr="00127C3A">
        <w:rPr>
          <w:rFonts w:ascii="Palatino Linotype" w:hAnsi="Palatino Linotype"/>
          <w:sz w:val="20"/>
          <w:vertAlign w:val="superscript"/>
        </w:rPr>
        <w:t>2</w:t>
      </w:r>
      <w:r w:rsidRPr="00127C3A">
        <w:rPr>
          <w:rFonts w:ascii="Palatino Linotype" w:hAnsi="Palatino Linotype"/>
          <w:sz w:val="20"/>
        </w:rPr>
        <w:t xml:space="preserve"> = 0.998), 10.1 (R</w:t>
      </w:r>
      <w:r w:rsidRPr="00127C3A">
        <w:rPr>
          <w:rFonts w:ascii="Palatino Linotype" w:hAnsi="Palatino Linotype"/>
          <w:sz w:val="20"/>
          <w:vertAlign w:val="superscript"/>
        </w:rPr>
        <w:t>2</w:t>
      </w:r>
      <w:r w:rsidRPr="00127C3A">
        <w:rPr>
          <w:rFonts w:ascii="Palatino Linotype" w:hAnsi="Palatino Linotype"/>
          <w:sz w:val="20"/>
        </w:rPr>
        <w:t xml:space="preserve"> = 0.995) and 120.2 (R</w:t>
      </w:r>
      <w:r w:rsidRPr="00127C3A">
        <w:rPr>
          <w:rFonts w:ascii="Palatino Linotype" w:hAnsi="Palatino Linotype"/>
          <w:sz w:val="20"/>
          <w:vertAlign w:val="superscript"/>
        </w:rPr>
        <w:t>2</w:t>
      </w:r>
      <w:r w:rsidRPr="00127C3A">
        <w:rPr>
          <w:rFonts w:ascii="Palatino Linotype" w:hAnsi="Palatino Linotype"/>
          <w:sz w:val="20"/>
        </w:rPr>
        <w:t xml:space="preserve"> = 0.994), 10.2 (R</w:t>
      </w:r>
      <w:r w:rsidRPr="00127C3A">
        <w:rPr>
          <w:rFonts w:ascii="Palatino Linotype" w:hAnsi="Palatino Linotype"/>
          <w:sz w:val="20"/>
          <w:vertAlign w:val="superscript"/>
        </w:rPr>
        <w:t>2</w:t>
      </w:r>
      <w:r w:rsidRPr="00127C3A">
        <w:rPr>
          <w:rFonts w:ascii="Palatino Linotype" w:hAnsi="Palatino Linotype"/>
          <w:sz w:val="20"/>
        </w:rPr>
        <w:t xml:space="preserve"> = 0.994) and 64.5 (R</w:t>
      </w:r>
      <w:r w:rsidRPr="00127C3A">
        <w:rPr>
          <w:rFonts w:ascii="Palatino Linotype" w:hAnsi="Palatino Linotype"/>
          <w:sz w:val="20"/>
          <w:vertAlign w:val="superscript"/>
        </w:rPr>
        <w:t>2</w:t>
      </w:r>
      <w:r w:rsidRPr="00127C3A">
        <w:rPr>
          <w:rFonts w:ascii="Palatino Linotype" w:hAnsi="Palatino Linotype"/>
          <w:sz w:val="20"/>
        </w:rPr>
        <w:t xml:space="preserve"> = 0.993), 5.4 (R</w:t>
      </w:r>
      <w:r w:rsidRPr="00127C3A">
        <w:rPr>
          <w:rFonts w:ascii="Palatino Linotype" w:hAnsi="Palatino Linotype"/>
          <w:sz w:val="20"/>
          <w:vertAlign w:val="superscript"/>
        </w:rPr>
        <w:t>2</w:t>
      </w:r>
      <w:r w:rsidRPr="00127C3A">
        <w:rPr>
          <w:rFonts w:ascii="Palatino Linotype" w:hAnsi="Palatino Linotype"/>
          <w:sz w:val="20"/>
        </w:rPr>
        <w:t xml:space="preserve"> = 0.998) and 10.2 (R</w:t>
      </w:r>
      <w:r w:rsidRPr="00127C3A">
        <w:rPr>
          <w:rFonts w:ascii="Palatino Linotype" w:hAnsi="Palatino Linotype"/>
          <w:sz w:val="20"/>
          <w:vertAlign w:val="superscript"/>
        </w:rPr>
        <w:t>2</w:t>
      </w:r>
      <w:r w:rsidRPr="00127C3A">
        <w:rPr>
          <w:rFonts w:ascii="Palatino Linotype" w:hAnsi="Palatino Linotype"/>
          <w:sz w:val="20"/>
        </w:rPr>
        <w:t xml:space="preserve"> = 0.999), for SWNT, MWNT, GNP, and bare SPE-based sensors. As noted in the preliminary characterization (section 3.1), the SWNT-based platforms result as the most performing devices in terms of analytical robustness.  However, the modification of the </w:t>
      </w:r>
      <w:proofErr w:type="spellStart"/>
      <w:r w:rsidRPr="00127C3A">
        <w:rPr>
          <w:rFonts w:ascii="Palatino Linotype" w:hAnsi="Palatino Linotype"/>
          <w:sz w:val="20"/>
        </w:rPr>
        <w:t>electrodic</w:t>
      </w:r>
      <w:proofErr w:type="spellEnd"/>
      <w:r w:rsidRPr="00127C3A">
        <w:rPr>
          <w:rFonts w:ascii="Palatino Linotype" w:hAnsi="Palatino Linotype"/>
          <w:sz w:val="20"/>
        </w:rPr>
        <w:t xml:space="preserve"> surface with all our carbonaceous nanomaterials leads to a validation of the RSD% values below the 15% threshold value (the accepted standard for serigraphic platforms). </w:t>
      </w:r>
    </w:p>
    <w:p w:rsidR="00127C3A" w:rsidRDefault="00127C3A" w:rsidP="00567B5A">
      <w:pPr>
        <w:pStyle w:val="MDPI31text"/>
        <w:spacing w:before="240"/>
      </w:pPr>
    </w:p>
    <w:p w:rsidR="00127C3A" w:rsidRDefault="00127C3A" w:rsidP="00127C3A">
      <w:pPr>
        <w:pStyle w:val="MDPI41tablecaption"/>
      </w:pPr>
      <w:r>
        <w:rPr>
          <w:b/>
        </w:rPr>
        <w:t>Table 3</w:t>
      </w:r>
      <w:r w:rsidRPr="00325902">
        <w:rPr>
          <w:b/>
        </w:rPr>
        <w:t>.</w:t>
      </w:r>
      <w:r w:rsidRPr="00325902">
        <w:t xml:space="preserve"> </w:t>
      </w:r>
      <w:r w:rsidRPr="00127C3A">
        <w:rPr>
          <w:szCs w:val="18"/>
        </w:rPr>
        <w:t xml:space="preserve">Summary of the Limit </w:t>
      </w:r>
      <w:r>
        <w:rPr>
          <w:szCs w:val="18"/>
        </w:rPr>
        <w:t>O</w:t>
      </w:r>
      <w:r w:rsidRPr="00127C3A">
        <w:rPr>
          <w:szCs w:val="18"/>
        </w:rPr>
        <w:t xml:space="preserve">f </w:t>
      </w:r>
      <w:r>
        <w:rPr>
          <w:szCs w:val="18"/>
        </w:rPr>
        <w:t>D</w:t>
      </w:r>
      <w:r w:rsidRPr="00127C3A">
        <w:rPr>
          <w:szCs w:val="18"/>
        </w:rPr>
        <w:t>etection and reproducibility obtained using CV and SWV in the analyses of several HQ and BQ-spiked water solutions. All analytical parameters are obtained from CV and SWV traces.</w:t>
      </w:r>
    </w:p>
    <w:tbl>
      <w:tblPr>
        <w:tblW w:w="7740"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794"/>
        <w:gridCol w:w="2552"/>
        <w:gridCol w:w="1134"/>
        <w:gridCol w:w="850"/>
        <w:gridCol w:w="1276"/>
        <w:gridCol w:w="1134"/>
      </w:tblGrid>
      <w:tr w:rsidR="00127C3A" w:rsidRPr="001A7DD8" w:rsidTr="00745B5E">
        <w:tc>
          <w:tcPr>
            <w:tcW w:w="794" w:type="dxa"/>
            <w:tcBorders>
              <w:bottom w:val="single" w:sz="4" w:space="0" w:color="auto"/>
            </w:tcBorders>
            <w:shd w:val="clear" w:color="auto" w:fill="auto"/>
            <w:vAlign w:val="center"/>
          </w:tcPr>
          <w:p w:rsidR="00127C3A" w:rsidRPr="00676343" w:rsidRDefault="00127C3A" w:rsidP="00745B5E">
            <w:pPr>
              <w:jc w:val="center"/>
              <w:rPr>
                <w:rFonts w:eastAsia="Times New Roman"/>
                <w:b/>
                <w:i/>
                <w:iCs/>
              </w:rPr>
            </w:pPr>
          </w:p>
        </w:tc>
        <w:tc>
          <w:tcPr>
            <w:tcW w:w="2552" w:type="dxa"/>
            <w:tcBorders>
              <w:bottom w:val="single" w:sz="4" w:space="0" w:color="auto"/>
            </w:tcBorders>
          </w:tcPr>
          <w:p w:rsidR="00127C3A" w:rsidRPr="00676343" w:rsidRDefault="00127C3A" w:rsidP="00745B5E">
            <w:pPr>
              <w:spacing w:line="240" w:lineRule="auto"/>
              <w:jc w:val="center"/>
              <w:rPr>
                <w:rFonts w:eastAsia="Times New Roman"/>
                <w:b/>
                <w:noProof w:val="0"/>
                <w:lang w:eastAsia="de-DE" w:bidi="en-US"/>
              </w:rPr>
            </w:pPr>
          </w:p>
        </w:tc>
        <w:tc>
          <w:tcPr>
            <w:tcW w:w="1134" w:type="dxa"/>
            <w:tcBorders>
              <w:bottom w:val="single" w:sz="4" w:space="0" w:color="auto"/>
            </w:tcBorders>
            <w:shd w:val="clear" w:color="auto" w:fill="auto"/>
            <w:vAlign w:val="center"/>
          </w:tcPr>
          <w:p w:rsidR="00127C3A" w:rsidRPr="00676343" w:rsidRDefault="00127C3A" w:rsidP="00745B5E">
            <w:pPr>
              <w:spacing w:line="240" w:lineRule="auto"/>
              <w:jc w:val="center"/>
              <w:rPr>
                <w:rFonts w:eastAsia="Times New Roman"/>
                <w:b/>
                <w:noProof w:val="0"/>
                <w:lang w:eastAsia="de-DE" w:bidi="en-US"/>
              </w:rPr>
            </w:pPr>
            <w:r w:rsidRPr="00676343">
              <w:rPr>
                <w:rFonts w:eastAsia="Times New Roman"/>
                <w:b/>
                <w:noProof w:val="0"/>
                <w:lang w:eastAsia="de-DE" w:bidi="en-US"/>
              </w:rPr>
              <w:t>Bare</w:t>
            </w:r>
          </w:p>
          <w:p w:rsidR="00127C3A" w:rsidRPr="00676343" w:rsidRDefault="00127C3A" w:rsidP="00745B5E">
            <w:pPr>
              <w:spacing w:line="240" w:lineRule="auto"/>
              <w:jc w:val="center"/>
              <w:rPr>
                <w:rFonts w:eastAsia="Times New Roman"/>
                <w:b/>
                <w:noProof w:val="0"/>
                <w:lang w:eastAsia="de-DE" w:bidi="en-US"/>
              </w:rPr>
            </w:pPr>
            <w:r w:rsidRPr="00676343">
              <w:rPr>
                <w:rFonts w:eastAsia="Times New Roman"/>
                <w:b/>
                <w:noProof w:val="0"/>
                <w:lang w:eastAsia="de-DE" w:bidi="en-US"/>
              </w:rPr>
              <w:t>Electrode</w:t>
            </w:r>
          </w:p>
        </w:tc>
        <w:tc>
          <w:tcPr>
            <w:tcW w:w="850" w:type="dxa"/>
            <w:tcBorders>
              <w:bottom w:val="single" w:sz="4" w:space="0" w:color="auto"/>
            </w:tcBorders>
            <w:shd w:val="clear" w:color="auto" w:fill="auto"/>
            <w:vAlign w:val="center"/>
          </w:tcPr>
          <w:p w:rsidR="00127C3A" w:rsidRPr="00676343" w:rsidRDefault="00127C3A" w:rsidP="00745B5E">
            <w:pPr>
              <w:jc w:val="center"/>
              <w:rPr>
                <w:rFonts w:eastAsia="Times New Roman"/>
                <w:b/>
                <w:noProof w:val="0"/>
                <w:lang w:eastAsia="de-DE" w:bidi="en-US"/>
              </w:rPr>
            </w:pPr>
            <w:r w:rsidRPr="00676343">
              <w:rPr>
                <w:rFonts w:eastAsia="Times New Roman"/>
                <w:b/>
                <w:noProof w:val="0"/>
                <w:lang w:eastAsia="de-DE" w:bidi="en-US"/>
              </w:rPr>
              <w:t>SWNT</w:t>
            </w:r>
          </w:p>
        </w:tc>
        <w:tc>
          <w:tcPr>
            <w:tcW w:w="1276" w:type="dxa"/>
            <w:tcBorders>
              <w:bottom w:val="single" w:sz="4" w:space="0" w:color="auto"/>
            </w:tcBorders>
            <w:vAlign w:val="center"/>
          </w:tcPr>
          <w:p w:rsidR="00127C3A" w:rsidRPr="00676343" w:rsidRDefault="00127C3A" w:rsidP="00745B5E">
            <w:pPr>
              <w:jc w:val="center"/>
              <w:rPr>
                <w:rFonts w:eastAsia="Times New Roman"/>
                <w:b/>
                <w:noProof w:val="0"/>
                <w:lang w:eastAsia="de-DE" w:bidi="en-US"/>
              </w:rPr>
            </w:pPr>
            <w:r w:rsidRPr="00676343">
              <w:rPr>
                <w:rFonts w:eastAsia="Times New Roman"/>
                <w:b/>
                <w:noProof w:val="0"/>
                <w:lang w:eastAsia="de-DE" w:bidi="en-US"/>
              </w:rPr>
              <w:t>MWNT</w:t>
            </w:r>
          </w:p>
        </w:tc>
        <w:tc>
          <w:tcPr>
            <w:tcW w:w="1134" w:type="dxa"/>
            <w:tcBorders>
              <w:bottom w:val="single" w:sz="4" w:space="0" w:color="auto"/>
            </w:tcBorders>
            <w:vAlign w:val="center"/>
          </w:tcPr>
          <w:p w:rsidR="00127C3A" w:rsidRPr="00676343" w:rsidRDefault="00127C3A" w:rsidP="00745B5E">
            <w:pPr>
              <w:jc w:val="center"/>
              <w:rPr>
                <w:rFonts w:eastAsia="Times New Roman"/>
                <w:b/>
                <w:noProof w:val="0"/>
                <w:lang w:eastAsia="de-DE" w:bidi="en-US"/>
              </w:rPr>
            </w:pPr>
            <w:r w:rsidRPr="00676343">
              <w:rPr>
                <w:rFonts w:eastAsia="Times New Roman"/>
                <w:b/>
                <w:noProof w:val="0"/>
                <w:lang w:eastAsia="de-DE" w:bidi="en-US"/>
              </w:rPr>
              <w:t>GNP</w:t>
            </w:r>
          </w:p>
        </w:tc>
      </w:tr>
      <w:tr w:rsidR="00127C3A" w:rsidRPr="001A7DD8" w:rsidTr="00745B5E">
        <w:tc>
          <w:tcPr>
            <w:tcW w:w="7740" w:type="dxa"/>
            <w:gridSpan w:val="6"/>
            <w:tcBorders>
              <w:bottom w:val="single" w:sz="4" w:space="0" w:color="auto"/>
            </w:tcBorders>
            <w:shd w:val="clear" w:color="auto" w:fill="auto"/>
            <w:vAlign w:val="center"/>
          </w:tcPr>
          <w:p w:rsidR="00127C3A" w:rsidRPr="00676343" w:rsidRDefault="00127C3A" w:rsidP="00745B5E">
            <w:pPr>
              <w:jc w:val="center"/>
              <w:rPr>
                <w:rFonts w:eastAsia="Times New Roman"/>
                <w:b/>
                <w:noProof w:val="0"/>
                <w:lang w:eastAsia="de-DE" w:bidi="en-US"/>
              </w:rPr>
            </w:pPr>
            <w:r w:rsidRPr="00676343">
              <w:rPr>
                <w:rFonts w:eastAsia="Times New Roman"/>
                <w:b/>
                <w:lang w:val="en-GB"/>
              </w:rPr>
              <w:t>HydroQuinone (HQ)</w:t>
            </w:r>
          </w:p>
        </w:tc>
      </w:tr>
      <w:tr w:rsidR="00127C3A" w:rsidRPr="00676343" w:rsidTr="0017487E">
        <w:tc>
          <w:tcPr>
            <w:tcW w:w="794" w:type="dxa"/>
            <w:vMerge w:val="restart"/>
            <w:tcBorders>
              <w:top w:val="single" w:sz="4" w:space="0" w:color="auto"/>
              <w:bottom w:val="nil"/>
            </w:tcBorders>
            <w:shd w:val="clear" w:color="auto" w:fill="auto"/>
            <w:vAlign w:val="center"/>
          </w:tcPr>
          <w:p w:rsidR="00127C3A" w:rsidRPr="00676343" w:rsidRDefault="00127C3A" w:rsidP="00127C3A">
            <w:pPr>
              <w:ind w:left="225"/>
              <w:jc w:val="left"/>
              <w:rPr>
                <w:rFonts w:eastAsia="Times New Roman"/>
                <w:lang w:val="en-GB"/>
              </w:rPr>
            </w:pPr>
            <w:r w:rsidRPr="00676343">
              <w:rPr>
                <w:rFonts w:eastAsia="Times New Roman"/>
                <w:lang w:val="en-GB"/>
              </w:rPr>
              <w:t>CV</w:t>
            </w:r>
          </w:p>
        </w:tc>
        <w:tc>
          <w:tcPr>
            <w:tcW w:w="2552" w:type="dxa"/>
            <w:tcBorders>
              <w:top w:val="single" w:sz="4" w:space="0" w:color="auto"/>
              <w:bottom w:val="nil"/>
            </w:tcBorders>
            <w:vAlign w:val="center"/>
          </w:tcPr>
          <w:p w:rsidR="00127C3A" w:rsidRPr="00676343" w:rsidRDefault="00127C3A" w:rsidP="00127C3A">
            <w:pPr>
              <w:jc w:val="center"/>
              <w:rPr>
                <w:rFonts w:eastAsia="Times New Roman"/>
              </w:rPr>
            </w:pPr>
            <w:r w:rsidRPr="00676343">
              <w:rPr>
                <w:rFonts w:eastAsia="Times New Roman"/>
              </w:rPr>
              <w:t>LOD (μM)</w:t>
            </w:r>
          </w:p>
        </w:tc>
        <w:tc>
          <w:tcPr>
            <w:tcW w:w="1134" w:type="dxa"/>
            <w:tcBorders>
              <w:top w:val="single" w:sz="4" w:space="0" w:color="auto"/>
              <w:bottom w:val="nil"/>
            </w:tcBorders>
            <w:shd w:val="clear" w:color="auto" w:fill="auto"/>
          </w:tcPr>
          <w:p w:rsidR="00127C3A" w:rsidRPr="00AC15DC" w:rsidRDefault="00127C3A" w:rsidP="00127C3A">
            <w:pPr>
              <w:jc w:val="center"/>
            </w:pPr>
            <w:r w:rsidRPr="00AC15DC">
              <w:t>334.5</w:t>
            </w:r>
          </w:p>
        </w:tc>
        <w:tc>
          <w:tcPr>
            <w:tcW w:w="850" w:type="dxa"/>
            <w:tcBorders>
              <w:top w:val="single" w:sz="4" w:space="0" w:color="auto"/>
              <w:bottom w:val="nil"/>
            </w:tcBorders>
            <w:shd w:val="clear" w:color="auto" w:fill="auto"/>
          </w:tcPr>
          <w:p w:rsidR="00127C3A" w:rsidRPr="00AC15DC" w:rsidRDefault="00127C3A" w:rsidP="00127C3A">
            <w:pPr>
              <w:jc w:val="center"/>
            </w:pPr>
            <w:r w:rsidRPr="00AC15DC">
              <w:t>80.3</w:t>
            </w:r>
          </w:p>
        </w:tc>
        <w:tc>
          <w:tcPr>
            <w:tcW w:w="1276" w:type="dxa"/>
            <w:tcBorders>
              <w:top w:val="single" w:sz="4" w:space="0" w:color="auto"/>
              <w:bottom w:val="nil"/>
            </w:tcBorders>
          </w:tcPr>
          <w:p w:rsidR="00127C3A" w:rsidRPr="00AC15DC" w:rsidRDefault="00127C3A" w:rsidP="00127C3A">
            <w:pPr>
              <w:jc w:val="center"/>
            </w:pPr>
            <w:r w:rsidRPr="00AC15DC">
              <w:t>13.7</w:t>
            </w:r>
          </w:p>
        </w:tc>
        <w:tc>
          <w:tcPr>
            <w:tcW w:w="1134" w:type="dxa"/>
            <w:tcBorders>
              <w:top w:val="single" w:sz="4" w:space="0" w:color="auto"/>
              <w:bottom w:val="nil"/>
            </w:tcBorders>
          </w:tcPr>
          <w:p w:rsidR="00127C3A" w:rsidRPr="00AC15DC" w:rsidRDefault="00127C3A" w:rsidP="00127C3A">
            <w:pPr>
              <w:jc w:val="center"/>
            </w:pPr>
            <w:r w:rsidRPr="00AC15DC">
              <w:t>166.6</w:t>
            </w:r>
          </w:p>
        </w:tc>
      </w:tr>
      <w:tr w:rsidR="00127C3A" w:rsidRPr="00676343" w:rsidTr="0017487E">
        <w:tc>
          <w:tcPr>
            <w:tcW w:w="794" w:type="dxa"/>
            <w:vMerge/>
            <w:tcBorders>
              <w:top w:val="nil"/>
              <w:bottom w:val="single" w:sz="4" w:space="0" w:color="auto"/>
            </w:tcBorders>
            <w:shd w:val="clear" w:color="auto" w:fill="auto"/>
            <w:vAlign w:val="center"/>
          </w:tcPr>
          <w:p w:rsidR="00127C3A" w:rsidRPr="00676343" w:rsidRDefault="00127C3A" w:rsidP="00127C3A">
            <w:pPr>
              <w:ind w:left="225"/>
              <w:jc w:val="left"/>
              <w:rPr>
                <w:rFonts w:eastAsia="Times New Roman"/>
                <w:lang w:val="en-GB"/>
              </w:rPr>
            </w:pPr>
          </w:p>
        </w:tc>
        <w:tc>
          <w:tcPr>
            <w:tcW w:w="2552" w:type="dxa"/>
            <w:tcBorders>
              <w:top w:val="nil"/>
              <w:bottom w:val="single" w:sz="4" w:space="0" w:color="auto"/>
            </w:tcBorders>
            <w:vAlign w:val="center"/>
          </w:tcPr>
          <w:p w:rsidR="00127C3A" w:rsidRPr="00676343" w:rsidRDefault="00127C3A" w:rsidP="00127C3A">
            <w:pPr>
              <w:jc w:val="center"/>
              <w:rPr>
                <w:rFonts w:eastAsia="Times New Roman"/>
                <w:lang w:val="en-GB"/>
              </w:rPr>
            </w:pPr>
            <w:r w:rsidRPr="00676343">
              <w:rPr>
                <w:rFonts w:eastAsia="Times New Roman"/>
                <w:lang w:val="en-GB"/>
              </w:rPr>
              <w:t>Reproducibility (RSD%)</w:t>
            </w:r>
          </w:p>
        </w:tc>
        <w:tc>
          <w:tcPr>
            <w:tcW w:w="1134" w:type="dxa"/>
            <w:tcBorders>
              <w:top w:val="nil"/>
              <w:bottom w:val="single" w:sz="4" w:space="0" w:color="auto"/>
            </w:tcBorders>
            <w:shd w:val="clear" w:color="auto" w:fill="auto"/>
          </w:tcPr>
          <w:p w:rsidR="00127C3A" w:rsidRPr="00AC15DC" w:rsidRDefault="00127C3A" w:rsidP="00127C3A">
            <w:pPr>
              <w:jc w:val="center"/>
            </w:pPr>
            <w:r w:rsidRPr="00AC15DC">
              <w:t>17</w:t>
            </w:r>
          </w:p>
        </w:tc>
        <w:tc>
          <w:tcPr>
            <w:tcW w:w="850" w:type="dxa"/>
            <w:tcBorders>
              <w:top w:val="nil"/>
              <w:bottom w:val="single" w:sz="4" w:space="0" w:color="auto"/>
            </w:tcBorders>
            <w:shd w:val="clear" w:color="auto" w:fill="auto"/>
          </w:tcPr>
          <w:p w:rsidR="00127C3A" w:rsidRPr="00AC15DC" w:rsidRDefault="00127C3A" w:rsidP="00127C3A">
            <w:pPr>
              <w:jc w:val="center"/>
            </w:pPr>
            <w:r w:rsidRPr="00AC15DC">
              <w:t>8</w:t>
            </w:r>
          </w:p>
        </w:tc>
        <w:tc>
          <w:tcPr>
            <w:tcW w:w="1276" w:type="dxa"/>
            <w:tcBorders>
              <w:top w:val="nil"/>
              <w:bottom w:val="single" w:sz="4" w:space="0" w:color="auto"/>
            </w:tcBorders>
          </w:tcPr>
          <w:p w:rsidR="00127C3A" w:rsidRPr="00AC15DC" w:rsidRDefault="00127C3A" w:rsidP="00127C3A">
            <w:pPr>
              <w:jc w:val="center"/>
            </w:pPr>
            <w:r w:rsidRPr="00AC15DC">
              <w:t>9</w:t>
            </w:r>
          </w:p>
        </w:tc>
        <w:tc>
          <w:tcPr>
            <w:tcW w:w="1134" w:type="dxa"/>
            <w:tcBorders>
              <w:top w:val="nil"/>
              <w:bottom w:val="single" w:sz="4" w:space="0" w:color="auto"/>
            </w:tcBorders>
          </w:tcPr>
          <w:p w:rsidR="00127C3A" w:rsidRPr="00AC15DC" w:rsidRDefault="00127C3A" w:rsidP="00127C3A">
            <w:pPr>
              <w:jc w:val="center"/>
            </w:pPr>
            <w:r w:rsidRPr="00AC15DC">
              <w:t>9</w:t>
            </w:r>
          </w:p>
        </w:tc>
      </w:tr>
      <w:tr w:rsidR="00127C3A" w:rsidRPr="00676343" w:rsidTr="0017487E">
        <w:tc>
          <w:tcPr>
            <w:tcW w:w="794" w:type="dxa"/>
            <w:vMerge w:val="restart"/>
            <w:tcBorders>
              <w:top w:val="single" w:sz="4" w:space="0" w:color="auto"/>
              <w:bottom w:val="nil"/>
            </w:tcBorders>
            <w:shd w:val="clear" w:color="auto" w:fill="auto"/>
            <w:vAlign w:val="center"/>
          </w:tcPr>
          <w:p w:rsidR="00127C3A" w:rsidRPr="00676343" w:rsidRDefault="00127C3A" w:rsidP="00127C3A">
            <w:pPr>
              <w:ind w:left="225"/>
              <w:jc w:val="left"/>
              <w:rPr>
                <w:rFonts w:eastAsia="Times New Roman"/>
                <w:lang w:val="en-GB"/>
              </w:rPr>
            </w:pPr>
            <w:r w:rsidRPr="00676343">
              <w:rPr>
                <w:rFonts w:eastAsia="Times New Roman"/>
                <w:lang w:val="en-GB"/>
              </w:rPr>
              <w:t>SWV</w:t>
            </w:r>
          </w:p>
        </w:tc>
        <w:tc>
          <w:tcPr>
            <w:tcW w:w="2552" w:type="dxa"/>
            <w:tcBorders>
              <w:top w:val="single" w:sz="4" w:space="0" w:color="auto"/>
              <w:bottom w:val="nil"/>
            </w:tcBorders>
            <w:vAlign w:val="center"/>
          </w:tcPr>
          <w:p w:rsidR="00127C3A" w:rsidRPr="00676343" w:rsidRDefault="00127C3A" w:rsidP="00127C3A">
            <w:pPr>
              <w:jc w:val="center"/>
              <w:rPr>
                <w:rFonts w:eastAsia="Times New Roman"/>
                <w:lang w:val="en-GB"/>
              </w:rPr>
            </w:pPr>
            <w:r w:rsidRPr="00676343">
              <w:rPr>
                <w:rFonts w:eastAsia="Times New Roman"/>
                <w:lang w:val="en-GB"/>
              </w:rPr>
              <w:t xml:space="preserve">LOD </w:t>
            </w:r>
            <w:r w:rsidRPr="00676343">
              <w:rPr>
                <w:rFonts w:eastAsia="Times New Roman"/>
              </w:rPr>
              <w:t>(μM)</w:t>
            </w:r>
          </w:p>
        </w:tc>
        <w:tc>
          <w:tcPr>
            <w:tcW w:w="1134" w:type="dxa"/>
            <w:tcBorders>
              <w:top w:val="single" w:sz="4" w:space="0" w:color="auto"/>
              <w:bottom w:val="nil"/>
            </w:tcBorders>
            <w:shd w:val="clear" w:color="auto" w:fill="auto"/>
          </w:tcPr>
          <w:p w:rsidR="00127C3A" w:rsidRPr="00AC15DC" w:rsidRDefault="00127C3A" w:rsidP="00127C3A">
            <w:pPr>
              <w:jc w:val="center"/>
            </w:pPr>
            <w:r w:rsidRPr="00AC15DC">
              <w:t>132.3</w:t>
            </w:r>
          </w:p>
        </w:tc>
        <w:tc>
          <w:tcPr>
            <w:tcW w:w="850" w:type="dxa"/>
            <w:tcBorders>
              <w:top w:val="single" w:sz="4" w:space="0" w:color="auto"/>
              <w:bottom w:val="nil"/>
            </w:tcBorders>
            <w:shd w:val="clear" w:color="auto" w:fill="auto"/>
          </w:tcPr>
          <w:p w:rsidR="00127C3A" w:rsidRPr="00AC15DC" w:rsidRDefault="00127C3A" w:rsidP="00127C3A">
            <w:pPr>
              <w:jc w:val="center"/>
            </w:pPr>
            <w:r w:rsidRPr="00AC15DC">
              <w:t>2.2</w:t>
            </w:r>
          </w:p>
        </w:tc>
        <w:tc>
          <w:tcPr>
            <w:tcW w:w="1276" w:type="dxa"/>
            <w:tcBorders>
              <w:top w:val="single" w:sz="4" w:space="0" w:color="auto"/>
              <w:bottom w:val="nil"/>
            </w:tcBorders>
          </w:tcPr>
          <w:p w:rsidR="00127C3A" w:rsidRPr="00AC15DC" w:rsidRDefault="00127C3A" w:rsidP="00127C3A">
            <w:pPr>
              <w:jc w:val="center"/>
            </w:pPr>
            <w:r w:rsidRPr="00AC15DC">
              <w:t>1.7</w:t>
            </w:r>
          </w:p>
        </w:tc>
        <w:tc>
          <w:tcPr>
            <w:tcW w:w="1134" w:type="dxa"/>
            <w:tcBorders>
              <w:top w:val="single" w:sz="4" w:space="0" w:color="auto"/>
              <w:bottom w:val="nil"/>
            </w:tcBorders>
          </w:tcPr>
          <w:p w:rsidR="00127C3A" w:rsidRPr="00AC15DC" w:rsidRDefault="00127C3A" w:rsidP="00127C3A">
            <w:pPr>
              <w:jc w:val="center"/>
            </w:pPr>
            <w:r w:rsidRPr="00AC15DC">
              <w:t>5.3</w:t>
            </w:r>
          </w:p>
        </w:tc>
      </w:tr>
      <w:tr w:rsidR="00127C3A" w:rsidRPr="00676343" w:rsidTr="0017487E">
        <w:tc>
          <w:tcPr>
            <w:tcW w:w="794" w:type="dxa"/>
            <w:vMerge/>
            <w:tcBorders>
              <w:top w:val="nil"/>
              <w:bottom w:val="single" w:sz="4" w:space="0" w:color="auto"/>
            </w:tcBorders>
            <w:shd w:val="clear" w:color="auto" w:fill="auto"/>
            <w:vAlign w:val="center"/>
          </w:tcPr>
          <w:p w:rsidR="00127C3A" w:rsidRPr="00676343" w:rsidRDefault="00127C3A" w:rsidP="00127C3A">
            <w:pPr>
              <w:ind w:left="225"/>
              <w:jc w:val="left"/>
              <w:rPr>
                <w:i/>
                <w:iCs/>
              </w:rPr>
            </w:pPr>
          </w:p>
        </w:tc>
        <w:tc>
          <w:tcPr>
            <w:tcW w:w="2552" w:type="dxa"/>
            <w:tcBorders>
              <w:top w:val="nil"/>
              <w:bottom w:val="single" w:sz="4" w:space="0" w:color="auto"/>
            </w:tcBorders>
            <w:vAlign w:val="center"/>
          </w:tcPr>
          <w:p w:rsidR="00127C3A" w:rsidRPr="00676343" w:rsidRDefault="00127C3A" w:rsidP="00127C3A">
            <w:pPr>
              <w:jc w:val="center"/>
              <w:rPr>
                <w:rFonts w:eastAsia="Times New Roman"/>
                <w:lang w:val="en-GB"/>
              </w:rPr>
            </w:pPr>
            <w:r w:rsidRPr="00676343">
              <w:rPr>
                <w:rFonts w:eastAsia="Times New Roman"/>
                <w:lang w:val="en-GB"/>
              </w:rPr>
              <w:t>Reproducibility</w:t>
            </w:r>
            <w:r>
              <w:rPr>
                <w:rFonts w:eastAsia="Times New Roman"/>
                <w:lang w:val="en-GB"/>
              </w:rPr>
              <w:t xml:space="preserve"> </w:t>
            </w:r>
            <w:r w:rsidRPr="00676343">
              <w:rPr>
                <w:rFonts w:eastAsia="Times New Roman"/>
                <w:lang w:val="en-GB"/>
              </w:rPr>
              <w:t>(RSD%)</w:t>
            </w:r>
          </w:p>
        </w:tc>
        <w:tc>
          <w:tcPr>
            <w:tcW w:w="1134" w:type="dxa"/>
            <w:tcBorders>
              <w:top w:val="nil"/>
              <w:bottom w:val="single" w:sz="4" w:space="0" w:color="auto"/>
            </w:tcBorders>
            <w:shd w:val="clear" w:color="auto" w:fill="auto"/>
          </w:tcPr>
          <w:p w:rsidR="00127C3A" w:rsidRPr="00AC15DC" w:rsidRDefault="00127C3A" w:rsidP="00127C3A">
            <w:pPr>
              <w:jc w:val="center"/>
            </w:pPr>
            <w:r w:rsidRPr="00AC15DC">
              <w:t>17</w:t>
            </w:r>
          </w:p>
        </w:tc>
        <w:tc>
          <w:tcPr>
            <w:tcW w:w="850" w:type="dxa"/>
            <w:tcBorders>
              <w:top w:val="nil"/>
              <w:bottom w:val="single" w:sz="4" w:space="0" w:color="auto"/>
            </w:tcBorders>
            <w:shd w:val="clear" w:color="auto" w:fill="auto"/>
          </w:tcPr>
          <w:p w:rsidR="00127C3A" w:rsidRPr="00AC15DC" w:rsidRDefault="00127C3A" w:rsidP="00127C3A">
            <w:pPr>
              <w:jc w:val="center"/>
            </w:pPr>
            <w:r w:rsidRPr="00AC15DC">
              <w:t>10</w:t>
            </w:r>
          </w:p>
        </w:tc>
        <w:tc>
          <w:tcPr>
            <w:tcW w:w="1276" w:type="dxa"/>
            <w:tcBorders>
              <w:top w:val="nil"/>
              <w:bottom w:val="single" w:sz="4" w:space="0" w:color="auto"/>
            </w:tcBorders>
          </w:tcPr>
          <w:p w:rsidR="00127C3A" w:rsidRPr="00AC15DC" w:rsidRDefault="00127C3A" w:rsidP="00127C3A">
            <w:pPr>
              <w:jc w:val="center"/>
            </w:pPr>
            <w:r w:rsidRPr="00AC15DC">
              <w:t>10</w:t>
            </w:r>
          </w:p>
        </w:tc>
        <w:tc>
          <w:tcPr>
            <w:tcW w:w="1134" w:type="dxa"/>
            <w:tcBorders>
              <w:top w:val="nil"/>
              <w:bottom w:val="single" w:sz="4" w:space="0" w:color="auto"/>
            </w:tcBorders>
          </w:tcPr>
          <w:p w:rsidR="00127C3A" w:rsidRDefault="00127C3A" w:rsidP="00127C3A">
            <w:pPr>
              <w:jc w:val="center"/>
            </w:pPr>
            <w:r w:rsidRPr="00AC15DC">
              <w:t>10</w:t>
            </w:r>
          </w:p>
        </w:tc>
      </w:tr>
      <w:tr w:rsidR="00127C3A" w:rsidRPr="00676343" w:rsidTr="00745B5E">
        <w:tc>
          <w:tcPr>
            <w:tcW w:w="7740" w:type="dxa"/>
            <w:gridSpan w:val="6"/>
            <w:tcBorders>
              <w:top w:val="single" w:sz="4" w:space="0" w:color="auto"/>
              <w:bottom w:val="nil"/>
            </w:tcBorders>
            <w:shd w:val="clear" w:color="auto" w:fill="auto"/>
            <w:vAlign w:val="center"/>
          </w:tcPr>
          <w:p w:rsidR="00127C3A" w:rsidRPr="00676343" w:rsidRDefault="00127C3A" w:rsidP="00745B5E">
            <w:pPr>
              <w:jc w:val="center"/>
            </w:pPr>
            <w:r w:rsidRPr="00676343">
              <w:rPr>
                <w:rFonts w:eastAsia="Times New Roman"/>
                <w:b/>
                <w:lang w:val="en-GB"/>
              </w:rPr>
              <w:t>BenzoQuinone (BQ)</w:t>
            </w:r>
          </w:p>
        </w:tc>
      </w:tr>
      <w:tr w:rsidR="00127C3A" w:rsidRPr="00676343" w:rsidTr="00DD735E">
        <w:tc>
          <w:tcPr>
            <w:tcW w:w="794" w:type="dxa"/>
            <w:vMerge w:val="restart"/>
            <w:tcBorders>
              <w:top w:val="single" w:sz="4" w:space="0" w:color="auto"/>
              <w:bottom w:val="nil"/>
            </w:tcBorders>
            <w:shd w:val="clear" w:color="auto" w:fill="auto"/>
            <w:vAlign w:val="center"/>
          </w:tcPr>
          <w:p w:rsidR="00127C3A" w:rsidRPr="00676343" w:rsidRDefault="00127C3A" w:rsidP="00127C3A">
            <w:pPr>
              <w:ind w:left="225"/>
              <w:jc w:val="left"/>
              <w:rPr>
                <w:rFonts w:eastAsia="Times New Roman"/>
                <w:lang w:val="en-GB"/>
              </w:rPr>
            </w:pPr>
            <w:r w:rsidRPr="00676343">
              <w:rPr>
                <w:rFonts w:eastAsia="Times New Roman"/>
                <w:lang w:val="en-GB"/>
              </w:rPr>
              <w:t>CV</w:t>
            </w:r>
          </w:p>
        </w:tc>
        <w:tc>
          <w:tcPr>
            <w:tcW w:w="2552" w:type="dxa"/>
            <w:tcBorders>
              <w:top w:val="single" w:sz="4" w:space="0" w:color="auto"/>
              <w:bottom w:val="nil"/>
            </w:tcBorders>
            <w:vAlign w:val="center"/>
          </w:tcPr>
          <w:p w:rsidR="00127C3A" w:rsidRPr="00676343" w:rsidRDefault="00127C3A" w:rsidP="00127C3A">
            <w:pPr>
              <w:jc w:val="center"/>
              <w:rPr>
                <w:rFonts w:eastAsia="Times New Roman"/>
              </w:rPr>
            </w:pPr>
            <w:r w:rsidRPr="00676343">
              <w:rPr>
                <w:rFonts w:eastAsia="Times New Roman"/>
              </w:rPr>
              <w:t>LOD (μM)</w:t>
            </w:r>
          </w:p>
        </w:tc>
        <w:tc>
          <w:tcPr>
            <w:tcW w:w="1134" w:type="dxa"/>
            <w:tcBorders>
              <w:top w:val="single" w:sz="4" w:space="0" w:color="auto"/>
              <w:bottom w:val="nil"/>
            </w:tcBorders>
            <w:shd w:val="clear" w:color="auto" w:fill="auto"/>
          </w:tcPr>
          <w:p w:rsidR="00127C3A" w:rsidRPr="00AB3088" w:rsidRDefault="00127C3A" w:rsidP="00127C3A">
            <w:pPr>
              <w:jc w:val="center"/>
            </w:pPr>
            <w:r w:rsidRPr="00AB3088">
              <w:t>275.5</w:t>
            </w:r>
          </w:p>
        </w:tc>
        <w:tc>
          <w:tcPr>
            <w:tcW w:w="850" w:type="dxa"/>
            <w:tcBorders>
              <w:top w:val="single" w:sz="4" w:space="0" w:color="auto"/>
              <w:bottom w:val="nil"/>
            </w:tcBorders>
            <w:shd w:val="clear" w:color="auto" w:fill="auto"/>
          </w:tcPr>
          <w:p w:rsidR="00127C3A" w:rsidRPr="00AB3088" w:rsidRDefault="00127C3A" w:rsidP="00127C3A">
            <w:pPr>
              <w:jc w:val="center"/>
            </w:pPr>
            <w:r w:rsidRPr="00AB3088">
              <w:t>1.4</w:t>
            </w:r>
          </w:p>
        </w:tc>
        <w:tc>
          <w:tcPr>
            <w:tcW w:w="1276" w:type="dxa"/>
            <w:tcBorders>
              <w:top w:val="single" w:sz="4" w:space="0" w:color="auto"/>
              <w:bottom w:val="nil"/>
            </w:tcBorders>
          </w:tcPr>
          <w:p w:rsidR="00127C3A" w:rsidRPr="00AB3088" w:rsidRDefault="00127C3A" w:rsidP="00127C3A">
            <w:pPr>
              <w:jc w:val="center"/>
            </w:pPr>
            <w:r w:rsidRPr="00AB3088">
              <w:t>102.5</w:t>
            </w:r>
          </w:p>
        </w:tc>
        <w:tc>
          <w:tcPr>
            <w:tcW w:w="1134" w:type="dxa"/>
            <w:tcBorders>
              <w:top w:val="single" w:sz="4" w:space="0" w:color="auto"/>
              <w:bottom w:val="nil"/>
            </w:tcBorders>
          </w:tcPr>
          <w:p w:rsidR="00127C3A" w:rsidRPr="00AB3088" w:rsidRDefault="00127C3A" w:rsidP="00127C3A">
            <w:pPr>
              <w:jc w:val="center"/>
            </w:pPr>
            <w:r w:rsidRPr="00AB3088">
              <w:t>108.5</w:t>
            </w:r>
          </w:p>
        </w:tc>
      </w:tr>
      <w:tr w:rsidR="00127C3A" w:rsidRPr="00676343" w:rsidTr="00DD735E">
        <w:tc>
          <w:tcPr>
            <w:tcW w:w="794" w:type="dxa"/>
            <w:vMerge/>
            <w:tcBorders>
              <w:top w:val="nil"/>
              <w:bottom w:val="single" w:sz="4" w:space="0" w:color="auto"/>
            </w:tcBorders>
            <w:shd w:val="clear" w:color="auto" w:fill="auto"/>
            <w:vAlign w:val="center"/>
          </w:tcPr>
          <w:p w:rsidR="00127C3A" w:rsidRPr="00676343" w:rsidRDefault="00127C3A" w:rsidP="00127C3A">
            <w:pPr>
              <w:ind w:left="225"/>
              <w:jc w:val="left"/>
              <w:rPr>
                <w:rFonts w:eastAsia="Times New Roman"/>
                <w:lang w:val="en-GB"/>
              </w:rPr>
            </w:pPr>
          </w:p>
        </w:tc>
        <w:tc>
          <w:tcPr>
            <w:tcW w:w="2552" w:type="dxa"/>
            <w:tcBorders>
              <w:top w:val="nil"/>
              <w:bottom w:val="single" w:sz="4" w:space="0" w:color="auto"/>
            </w:tcBorders>
            <w:vAlign w:val="center"/>
          </w:tcPr>
          <w:p w:rsidR="00127C3A" w:rsidRPr="00676343" w:rsidRDefault="00127C3A" w:rsidP="00127C3A">
            <w:pPr>
              <w:jc w:val="center"/>
              <w:rPr>
                <w:rFonts w:eastAsia="Times New Roman"/>
                <w:lang w:val="en-GB"/>
              </w:rPr>
            </w:pPr>
            <w:r w:rsidRPr="00676343">
              <w:rPr>
                <w:rFonts w:eastAsia="Times New Roman"/>
                <w:lang w:val="en-GB"/>
              </w:rPr>
              <w:t>Reproducibility (RSD%)</w:t>
            </w:r>
          </w:p>
        </w:tc>
        <w:tc>
          <w:tcPr>
            <w:tcW w:w="1134" w:type="dxa"/>
            <w:tcBorders>
              <w:top w:val="nil"/>
              <w:bottom w:val="single" w:sz="4" w:space="0" w:color="auto"/>
            </w:tcBorders>
            <w:shd w:val="clear" w:color="auto" w:fill="auto"/>
          </w:tcPr>
          <w:p w:rsidR="00127C3A" w:rsidRPr="00AB3088" w:rsidRDefault="00127C3A" w:rsidP="00127C3A">
            <w:pPr>
              <w:jc w:val="center"/>
            </w:pPr>
            <w:r w:rsidRPr="00AB3088">
              <w:t>14</w:t>
            </w:r>
          </w:p>
        </w:tc>
        <w:tc>
          <w:tcPr>
            <w:tcW w:w="850" w:type="dxa"/>
            <w:tcBorders>
              <w:top w:val="nil"/>
              <w:bottom w:val="single" w:sz="4" w:space="0" w:color="auto"/>
            </w:tcBorders>
            <w:shd w:val="clear" w:color="auto" w:fill="auto"/>
          </w:tcPr>
          <w:p w:rsidR="00127C3A" w:rsidRPr="00AB3088" w:rsidRDefault="00127C3A" w:rsidP="00127C3A">
            <w:pPr>
              <w:jc w:val="center"/>
            </w:pPr>
            <w:r w:rsidRPr="00AB3088">
              <w:t>10</w:t>
            </w:r>
          </w:p>
        </w:tc>
        <w:tc>
          <w:tcPr>
            <w:tcW w:w="1276" w:type="dxa"/>
            <w:tcBorders>
              <w:top w:val="nil"/>
              <w:bottom w:val="single" w:sz="4" w:space="0" w:color="auto"/>
            </w:tcBorders>
          </w:tcPr>
          <w:p w:rsidR="00127C3A" w:rsidRPr="00AB3088" w:rsidRDefault="00127C3A" w:rsidP="00127C3A">
            <w:pPr>
              <w:jc w:val="center"/>
            </w:pPr>
            <w:r w:rsidRPr="00AB3088">
              <w:t>10</w:t>
            </w:r>
          </w:p>
        </w:tc>
        <w:tc>
          <w:tcPr>
            <w:tcW w:w="1134" w:type="dxa"/>
            <w:tcBorders>
              <w:top w:val="nil"/>
              <w:bottom w:val="single" w:sz="4" w:space="0" w:color="auto"/>
            </w:tcBorders>
          </w:tcPr>
          <w:p w:rsidR="00127C3A" w:rsidRPr="00AB3088" w:rsidRDefault="00127C3A" w:rsidP="00127C3A">
            <w:pPr>
              <w:jc w:val="center"/>
            </w:pPr>
            <w:r w:rsidRPr="00AB3088">
              <w:t>10</w:t>
            </w:r>
          </w:p>
        </w:tc>
      </w:tr>
      <w:tr w:rsidR="00127C3A" w:rsidRPr="00676343" w:rsidTr="00DD735E">
        <w:tc>
          <w:tcPr>
            <w:tcW w:w="794" w:type="dxa"/>
            <w:vMerge w:val="restart"/>
            <w:tcBorders>
              <w:top w:val="single" w:sz="4" w:space="0" w:color="auto"/>
              <w:bottom w:val="nil"/>
            </w:tcBorders>
            <w:shd w:val="clear" w:color="auto" w:fill="auto"/>
            <w:vAlign w:val="center"/>
          </w:tcPr>
          <w:p w:rsidR="00127C3A" w:rsidRPr="00676343" w:rsidRDefault="00127C3A" w:rsidP="00127C3A">
            <w:pPr>
              <w:ind w:left="225"/>
              <w:jc w:val="left"/>
              <w:rPr>
                <w:rFonts w:eastAsia="Times New Roman"/>
                <w:lang w:val="en-GB"/>
              </w:rPr>
            </w:pPr>
            <w:r w:rsidRPr="00676343">
              <w:rPr>
                <w:rFonts w:eastAsia="Times New Roman"/>
                <w:lang w:val="en-GB"/>
              </w:rPr>
              <w:t>SWV</w:t>
            </w:r>
          </w:p>
        </w:tc>
        <w:tc>
          <w:tcPr>
            <w:tcW w:w="2552" w:type="dxa"/>
            <w:tcBorders>
              <w:top w:val="single" w:sz="4" w:space="0" w:color="auto"/>
              <w:bottom w:val="nil"/>
            </w:tcBorders>
            <w:vAlign w:val="center"/>
          </w:tcPr>
          <w:p w:rsidR="00127C3A" w:rsidRPr="00676343" w:rsidRDefault="00127C3A" w:rsidP="00127C3A">
            <w:pPr>
              <w:jc w:val="center"/>
              <w:rPr>
                <w:rFonts w:eastAsia="Times New Roman"/>
                <w:lang w:val="en-GB"/>
              </w:rPr>
            </w:pPr>
            <w:r w:rsidRPr="00676343">
              <w:rPr>
                <w:rFonts w:eastAsia="Times New Roman"/>
                <w:lang w:val="en-GB"/>
              </w:rPr>
              <w:t xml:space="preserve">LOD </w:t>
            </w:r>
            <w:r w:rsidRPr="00676343">
              <w:rPr>
                <w:rFonts w:eastAsia="Times New Roman"/>
              </w:rPr>
              <w:t>(μM)</w:t>
            </w:r>
          </w:p>
        </w:tc>
        <w:tc>
          <w:tcPr>
            <w:tcW w:w="1134" w:type="dxa"/>
            <w:tcBorders>
              <w:top w:val="single" w:sz="4" w:space="0" w:color="auto"/>
              <w:bottom w:val="nil"/>
            </w:tcBorders>
            <w:shd w:val="clear" w:color="auto" w:fill="auto"/>
          </w:tcPr>
          <w:p w:rsidR="00127C3A" w:rsidRPr="00AB3088" w:rsidRDefault="00127C3A" w:rsidP="00127C3A">
            <w:pPr>
              <w:jc w:val="center"/>
            </w:pPr>
            <w:r w:rsidRPr="00AB3088">
              <w:t>121.2</w:t>
            </w:r>
          </w:p>
        </w:tc>
        <w:tc>
          <w:tcPr>
            <w:tcW w:w="850" w:type="dxa"/>
            <w:tcBorders>
              <w:top w:val="single" w:sz="4" w:space="0" w:color="auto"/>
              <w:bottom w:val="nil"/>
            </w:tcBorders>
            <w:shd w:val="clear" w:color="auto" w:fill="auto"/>
          </w:tcPr>
          <w:p w:rsidR="00127C3A" w:rsidRPr="00AB3088" w:rsidRDefault="00127C3A" w:rsidP="00127C3A">
            <w:pPr>
              <w:jc w:val="center"/>
            </w:pPr>
            <w:r w:rsidRPr="00AB3088">
              <w:t>1.7</w:t>
            </w:r>
          </w:p>
        </w:tc>
        <w:tc>
          <w:tcPr>
            <w:tcW w:w="1276" w:type="dxa"/>
            <w:tcBorders>
              <w:top w:val="single" w:sz="4" w:space="0" w:color="auto"/>
              <w:bottom w:val="nil"/>
            </w:tcBorders>
          </w:tcPr>
          <w:p w:rsidR="00127C3A" w:rsidRPr="00AB3088" w:rsidRDefault="00127C3A" w:rsidP="00127C3A">
            <w:pPr>
              <w:jc w:val="center"/>
            </w:pPr>
            <w:r w:rsidRPr="00AB3088">
              <w:t>2.9</w:t>
            </w:r>
          </w:p>
        </w:tc>
        <w:tc>
          <w:tcPr>
            <w:tcW w:w="1134" w:type="dxa"/>
            <w:tcBorders>
              <w:top w:val="single" w:sz="4" w:space="0" w:color="auto"/>
              <w:bottom w:val="nil"/>
            </w:tcBorders>
          </w:tcPr>
          <w:p w:rsidR="00127C3A" w:rsidRPr="00AB3088" w:rsidRDefault="00127C3A" w:rsidP="00127C3A">
            <w:pPr>
              <w:jc w:val="center"/>
            </w:pPr>
            <w:r w:rsidRPr="00AB3088">
              <w:t>4.3</w:t>
            </w:r>
          </w:p>
        </w:tc>
      </w:tr>
      <w:tr w:rsidR="00127C3A" w:rsidRPr="00676343" w:rsidTr="00DD735E">
        <w:tc>
          <w:tcPr>
            <w:tcW w:w="794" w:type="dxa"/>
            <w:vMerge/>
            <w:tcBorders>
              <w:top w:val="nil"/>
              <w:bottom w:val="single" w:sz="4" w:space="0" w:color="auto"/>
            </w:tcBorders>
            <w:shd w:val="clear" w:color="auto" w:fill="auto"/>
            <w:vAlign w:val="center"/>
          </w:tcPr>
          <w:p w:rsidR="00127C3A" w:rsidRPr="00676343" w:rsidRDefault="00127C3A" w:rsidP="00127C3A">
            <w:pPr>
              <w:ind w:left="225"/>
              <w:jc w:val="left"/>
              <w:rPr>
                <w:i/>
                <w:iCs/>
              </w:rPr>
            </w:pPr>
          </w:p>
        </w:tc>
        <w:tc>
          <w:tcPr>
            <w:tcW w:w="2552" w:type="dxa"/>
            <w:tcBorders>
              <w:top w:val="nil"/>
              <w:bottom w:val="single" w:sz="4" w:space="0" w:color="auto"/>
            </w:tcBorders>
            <w:vAlign w:val="center"/>
          </w:tcPr>
          <w:p w:rsidR="00127C3A" w:rsidRPr="00676343" w:rsidRDefault="00127C3A" w:rsidP="00127C3A">
            <w:pPr>
              <w:jc w:val="center"/>
              <w:rPr>
                <w:rFonts w:eastAsia="Times New Roman"/>
                <w:lang w:val="en-GB"/>
              </w:rPr>
            </w:pPr>
            <w:r w:rsidRPr="00676343">
              <w:rPr>
                <w:rFonts w:eastAsia="Times New Roman"/>
                <w:lang w:val="en-GB"/>
              </w:rPr>
              <w:t>Reproducibility</w:t>
            </w:r>
            <w:r>
              <w:rPr>
                <w:rFonts w:eastAsia="Times New Roman"/>
                <w:lang w:val="en-GB"/>
              </w:rPr>
              <w:t xml:space="preserve"> </w:t>
            </w:r>
            <w:r w:rsidRPr="00676343">
              <w:rPr>
                <w:rFonts w:eastAsia="Times New Roman"/>
                <w:lang w:val="en-GB"/>
              </w:rPr>
              <w:t>(RSD%)</w:t>
            </w:r>
          </w:p>
        </w:tc>
        <w:tc>
          <w:tcPr>
            <w:tcW w:w="1134" w:type="dxa"/>
            <w:tcBorders>
              <w:top w:val="nil"/>
              <w:bottom w:val="single" w:sz="4" w:space="0" w:color="auto"/>
            </w:tcBorders>
            <w:shd w:val="clear" w:color="auto" w:fill="auto"/>
          </w:tcPr>
          <w:p w:rsidR="00127C3A" w:rsidRPr="00AB3088" w:rsidRDefault="00127C3A" w:rsidP="00127C3A">
            <w:pPr>
              <w:jc w:val="center"/>
            </w:pPr>
            <w:r w:rsidRPr="00AB3088">
              <w:t>18</w:t>
            </w:r>
          </w:p>
        </w:tc>
        <w:tc>
          <w:tcPr>
            <w:tcW w:w="850" w:type="dxa"/>
            <w:tcBorders>
              <w:top w:val="nil"/>
              <w:bottom w:val="single" w:sz="4" w:space="0" w:color="auto"/>
            </w:tcBorders>
            <w:shd w:val="clear" w:color="auto" w:fill="auto"/>
          </w:tcPr>
          <w:p w:rsidR="00127C3A" w:rsidRPr="00AB3088" w:rsidRDefault="00127C3A" w:rsidP="00127C3A">
            <w:pPr>
              <w:jc w:val="center"/>
            </w:pPr>
            <w:r w:rsidRPr="00AB3088">
              <w:t>11</w:t>
            </w:r>
          </w:p>
        </w:tc>
        <w:tc>
          <w:tcPr>
            <w:tcW w:w="1276" w:type="dxa"/>
            <w:tcBorders>
              <w:top w:val="nil"/>
              <w:bottom w:val="single" w:sz="4" w:space="0" w:color="auto"/>
            </w:tcBorders>
          </w:tcPr>
          <w:p w:rsidR="00127C3A" w:rsidRPr="00AB3088" w:rsidRDefault="00127C3A" w:rsidP="00127C3A">
            <w:pPr>
              <w:jc w:val="center"/>
            </w:pPr>
            <w:r w:rsidRPr="00AB3088">
              <w:t>12</w:t>
            </w:r>
          </w:p>
        </w:tc>
        <w:tc>
          <w:tcPr>
            <w:tcW w:w="1134" w:type="dxa"/>
            <w:tcBorders>
              <w:top w:val="nil"/>
              <w:bottom w:val="single" w:sz="4" w:space="0" w:color="auto"/>
            </w:tcBorders>
          </w:tcPr>
          <w:p w:rsidR="00127C3A" w:rsidRDefault="00127C3A" w:rsidP="00127C3A">
            <w:pPr>
              <w:jc w:val="center"/>
            </w:pPr>
            <w:r w:rsidRPr="00AB3088">
              <w:t>11</w:t>
            </w:r>
          </w:p>
        </w:tc>
      </w:tr>
    </w:tbl>
    <w:p w:rsidR="00127C3A" w:rsidRDefault="00127C3A" w:rsidP="00567B5A">
      <w:pPr>
        <w:pStyle w:val="MDPI31text"/>
        <w:spacing w:before="240"/>
      </w:pPr>
    </w:p>
    <w:p w:rsidR="00127C3A" w:rsidRDefault="00127C3A" w:rsidP="00127C3A">
      <w:pPr>
        <w:pStyle w:val="MDPI22heading2"/>
        <w:spacing w:before="240"/>
      </w:pPr>
      <w:r w:rsidRPr="00127C3A">
        <w:t>3.2.</w:t>
      </w:r>
      <w:r>
        <w:t>3</w:t>
      </w:r>
      <w:r w:rsidRPr="00127C3A">
        <w:tab/>
        <w:t>CNMs-based sensors stability and recovery in HQ determination</w:t>
      </w:r>
    </w:p>
    <w:p w:rsidR="00127C3A" w:rsidRPr="00127C3A" w:rsidRDefault="00127C3A" w:rsidP="00127C3A">
      <w:pPr>
        <w:pStyle w:val="MDPI31text"/>
        <w:spacing w:before="240"/>
        <w:rPr>
          <w:szCs w:val="20"/>
        </w:rPr>
      </w:pPr>
      <w:r w:rsidRPr="00127C3A">
        <w:rPr>
          <w:szCs w:val="20"/>
        </w:rPr>
        <w:t>The stability of the CNMs-based biosensors was examined by repeating the mea</w:t>
      </w:r>
      <w:r w:rsidRPr="00127C3A">
        <w:rPr>
          <w:szCs w:val="20"/>
        </w:rPr>
        <w:t>s</w:t>
      </w:r>
      <w:r w:rsidRPr="00127C3A">
        <w:rPr>
          <w:szCs w:val="20"/>
        </w:rPr>
        <w:t>urements (SWV) of 300µM HQ periodically over five weeks. The investigation was rea</w:t>
      </w:r>
      <w:r w:rsidRPr="00127C3A">
        <w:rPr>
          <w:szCs w:val="20"/>
        </w:rPr>
        <w:t>l</w:t>
      </w:r>
      <w:r w:rsidRPr="00127C3A">
        <w:rPr>
          <w:szCs w:val="20"/>
        </w:rPr>
        <w:t xml:space="preserve">ized for all the different platforms stored in a humid chamber at 4 °C without using any </w:t>
      </w:r>
      <w:r w:rsidRPr="00127C3A">
        <w:rPr>
          <w:szCs w:val="20"/>
        </w:rPr>
        <w:lastRenderedPageBreak/>
        <w:t>preservatives. The results in terms of registered faradic current showed an almost co</w:t>
      </w:r>
      <w:r w:rsidRPr="00127C3A">
        <w:rPr>
          <w:szCs w:val="20"/>
        </w:rPr>
        <w:t>n</w:t>
      </w:r>
      <w:r w:rsidRPr="00127C3A">
        <w:rPr>
          <w:szCs w:val="20"/>
        </w:rPr>
        <w:t>stant response for up to one month. Precisely, an averaged intra-day (6 SPE for each platform) and inter-day (from day 1 to 35) repeatability of 8% and 15% were calculated for all our platforms. Moreover, a recovery study using SWNT, the most powerful pla</w:t>
      </w:r>
      <w:r w:rsidRPr="00127C3A">
        <w:rPr>
          <w:szCs w:val="20"/>
        </w:rPr>
        <w:t>t</w:t>
      </w:r>
      <w:r w:rsidRPr="00127C3A">
        <w:rPr>
          <w:szCs w:val="20"/>
        </w:rPr>
        <w:t xml:space="preserve">form, and bare SPE-based sensors was carried out by analyzing a series of known HQ concentrations spiked in water (1, 10, 50, 100 µM). The results reported in Table 4, were obtained following the procedure adopted in our previous work. </w:t>
      </w:r>
    </w:p>
    <w:p w:rsidR="00127C3A" w:rsidRDefault="00127C3A" w:rsidP="00127C3A">
      <w:pPr>
        <w:pStyle w:val="MDPI31text"/>
        <w:spacing w:before="240"/>
      </w:pPr>
      <w:r w:rsidRPr="00127C3A">
        <w:rPr>
          <w:szCs w:val="20"/>
        </w:rPr>
        <w:t>The percent recovery values for the spiked samples were 85.0 to 92.8% and 5.0 to 79.2% for SWNT-SPEs and bare SPEs, respectively. Therefore, a negligible matrix effect and a good efficiency of the developed SWNT-SPEs were verified in the analysis of HQ in water samples. At the same time, it can be extrapolated from this data how better CNMs-SPEs are if compared to bare ones.</w:t>
      </w:r>
    </w:p>
    <w:p w:rsidR="00127C3A" w:rsidRDefault="00127C3A" w:rsidP="00127C3A">
      <w:pPr>
        <w:pStyle w:val="MDPI41tablecaption"/>
      </w:pPr>
      <w:r>
        <w:rPr>
          <w:b/>
        </w:rPr>
        <w:t>Table 4</w:t>
      </w:r>
      <w:r w:rsidRPr="00325902">
        <w:rPr>
          <w:b/>
        </w:rPr>
        <w:t>.</w:t>
      </w:r>
      <w:r w:rsidRPr="00325902">
        <w:t xml:space="preserve"> </w:t>
      </w:r>
      <w:r w:rsidRPr="00127C3A">
        <w:rPr>
          <w:szCs w:val="18"/>
        </w:rPr>
        <w:t>Recovery study conducted on spiked-HQ water solutions.</w:t>
      </w:r>
    </w:p>
    <w:tbl>
      <w:tblPr>
        <w:tblW w:w="7456"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078"/>
        <w:gridCol w:w="1984"/>
        <w:gridCol w:w="1418"/>
        <w:gridCol w:w="1417"/>
        <w:gridCol w:w="1559"/>
      </w:tblGrid>
      <w:tr w:rsidR="00127C3A" w:rsidRPr="001A7DD8" w:rsidTr="00127C3A">
        <w:tc>
          <w:tcPr>
            <w:tcW w:w="1078" w:type="dxa"/>
            <w:tcBorders>
              <w:bottom w:val="single" w:sz="4" w:space="0" w:color="auto"/>
            </w:tcBorders>
            <w:shd w:val="clear" w:color="auto" w:fill="auto"/>
            <w:vAlign w:val="center"/>
          </w:tcPr>
          <w:p w:rsidR="00127C3A" w:rsidRPr="00127C3A" w:rsidRDefault="00127C3A" w:rsidP="00127C3A">
            <w:pPr>
              <w:jc w:val="center"/>
              <w:rPr>
                <w:rFonts w:eastAsia="Times New Roman"/>
                <w:b/>
                <w:i/>
                <w:iCs/>
              </w:rPr>
            </w:pPr>
          </w:p>
        </w:tc>
        <w:tc>
          <w:tcPr>
            <w:tcW w:w="1984" w:type="dxa"/>
            <w:tcBorders>
              <w:bottom w:val="single" w:sz="4" w:space="0" w:color="auto"/>
            </w:tcBorders>
            <w:shd w:val="clear" w:color="auto" w:fill="auto"/>
          </w:tcPr>
          <w:p w:rsidR="00127C3A" w:rsidRPr="00127C3A" w:rsidRDefault="00127C3A" w:rsidP="00127C3A">
            <w:pPr>
              <w:jc w:val="center"/>
              <w:rPr>
                <w:b/>
                <w:lang w:val="en-GB"/>
              </w:rPr>
            </w:pPr>
            <w:r w:rsidRPr="00127C3A">
              <w:rPr>
                <w:b/>
                <w:lang w:val="en-GB"/>
              </w:rPr>
              <w:t>Spiked HQ concentration C</w:t>
            </w:r>
            <w:r w:rsidRPr="00127C3A">
              <w:rPr>
                <w:b/>
                <w:vertAlign w:val="subscript"/>
                <w:lang w:val="en-GB"/>
              </w:rPr>
              <w:t>S</w:t>
            </w:r>
            <w:r w:rsidRPr="00127C3A">
              <w:rPr>
                <w:b/>
                <w:lang w:val="en-GB"/>
              </w:rPr>
              <w:t xml:space="preserve"> (μM)</w:t>
            </w:r>
          </w:p>
        </w:tc>
        <w:tc>
          <w:tcPr>
            <w:tcW w:w="1418" w:type="dxa"/>
            <w:tcBorders>
              <w:bottom w:val="single" w:sz="4" w:space="0" w:color="auto"/>
            </w:tcBorders>
            <w:shd w:val="clear" w:color="auto" w:fill="auto"/>
          </w:tcPr>
          <w:p w:rsidR="00127C3A" w:rsidRPr="00127C3A" w:rsidRDefault="00127C3A" w:rsidP="00127C3A">
            <w:pPr>
              <w:jc w:val="center"/>
              <w:rPr>
                <w:b/>
                <w:lang w:val="en-GB"/>
              </w:rPr>
            </w:pPr>
            <w:r w:rsidRPr="00127C3A">
              <w:rPr>
                <w:b/>
                <w:lang w:val="en-GB"/>
              </w:rPr>
              <w:t>Recovered HQ concentration (C</w:t>
            </w:r>
            <w:r w:rsidRPr="00127C3A">
              <w:rPr>
                <w:b/>
                <w:vertAlign w:val="subscript"/>
                <w:lang w:val="en-GB"/>
              </w:rPr>
              <w:t>T</w:t>
            </w:r>
            <w:r w:rsidRPr="00127C3A">
              <w:rPr>
                <w:b/>
                <w:lang w:val="en-GB"/>
              </w:rPr>
              <w:t xml:space="preserve"> –C</w:t>
            </w:r>
            <w:r w:rsidRPr="00127C3A">
              <w:rPr>
                <w:b/>
                <w:vertAlign w:val="subscript"/>
                <w:lang w:val="en-GB"/>
              </w:rPr>
              <w:t>0</w:t>
            </w:r>
            <w:r w:rsidRPr="00127C3A">
              <w:rPr>
                <w:b/>
                <w:lang w:val="en-GB"/>
              </w:rPr>
              <w:t>) (μM)</w:t>
            </w:r>
          </w:p>
        </w:tc>
        <w:tc>
          <w:tcPr>
            <w:tcW w:w="1417" w:type="dxa"/>
            <w:tcBorders>
              <w:bottom w:val="single" w:sz="4" w:space="0" w:color="auto"/>
            </w:tcBorders>
          </w:tcPr>
          <w:p w:rsidR="00127C3A" w:rsidRPr="00127C3A" w:rsidRDefault="00127C3A" w:rsidP="00127C3A">
            <w:pPr>
              <w:jc w:val="center"/>
              <w:rPr>
                <w:b/>
                <w:lang w:val="en-GB"/>
              </w:rPr>
            </w:pPr>
            <w:r w:rsidRPr="00127C3A">
              <w:rPr>
                <w:b/>
                <w:lang w:val="en-GB"/>
              </w:rPr>
              <w:t>Recovery % (n=6)</w:t>
            </w:r>
          </w:p>
        </w:tc>
        <w:tc>
          <w:tcPr>
            <w:tcW w:w="1559" w:type="dxa"/>
            <w:tcBorders>
              <w:bottom w:val="single" w:sz="4" w:space="0" w:color="auto"/>
            </w:tcBorders>
          </w:tcPr>
          <w:p w:rsidR="00127C3A" w:rsidRDefault="00127C3A" w:rsidP="00127C3A">
            <w:pPr>
              <w:jc w:val="center"/>
              <w:rPr>
                <w:b/>
                <w:lang w:val="en-GB"/>
              </w:rPr>
            </w:pPr>
            <w:r w:rsidRPr="00127C3A">
              <w:rPr>
                <w:b/>
                <w:lang w:val="en-GB"/>
              </w:rPr>
              <w:t xml:space="preserve">RSD% </w:t>
            </w:r>
          </w:p>
          <w:p w:rsidR="00127C3A" w:rsidRPr="00127C3A" w:rsidRDefault="00127C3A" w:rsidP="00127C3A">
            <w:pPr>
              <w:jc w:val="center"/>
              <w:rPr>
                <w:b/>
                <w:lang w:val="en-GB"/>
              </w:rPr>
            </w:pPr>
            <w:r w:rsidRPr="00127C3A">
              <w:rPr>
                <w:b/>
                <w:lang w:val="en-GB"/>
              </w:rPr>
              <w:t>(n=6)</w:t>
            </w:r>
          </w:p>
        </w:tc>
      </w:tr>
      <w:tr w:rsidR="00127C3A" w:rsidRPr="001A7DD8" w:rsidTr="00127C3A">
        <w:tc>
          <w:tcPr>
            <w:tcW w:w="1078" w:type="dxa"/>
            <w:vMerge w:val="restart"/>
            <w:tcBorders>
              <w:top w:val="single" w:sz="4" w:space="0" w:color="auto"/>
              <w:bottom w:val="nil"/>
            </w:tcBorders>
            <w:shd w:val="clear" w:color="auto" w:fill="auto"/>
            <w:vAlign w:val="center"/>
          </w:tcPr>
          <w:p w:rsidR="00127C3A" w:rsidRPr="00127C3A" w:rsidRDefault="00127C3A" w:rsidP="00127C3A">
            <w:pPr>
              <w:ind w:left="225"/>
              <w:jc w:val="left"/>
              <w:rPr>
                <w:rFonts w:eastAsia="Times New Roman"/>
              </w:rPr>
            </w:pPr>
            <w:r w:rsidRPr="00127C3A">
              <w:rPr>
                <w:rFonts w:eastAsia="Times New Roman"/>
              </w:rPr>
              <w:t>SWNT</w:t>
            </w:r>
          </w:p>
        </w:tc>
        <w:tc>
          <w:tcPr>
            <w:tcW w:w="1984" w:type="dxa"/>
            <w:tcBorders>
              <w:top w:val="single" w:sz="4" w:space="0" w:color="auto"/>
              <w:bottom w:val="nil"/>
            </w:tcBorders>
            <w:shd w:val="clear" w:color="auto" w:fill="auto"/>
          </w:tcPr>
          <w:p w:rsidR="00127C3A" w:rsidRPr="00127C3A" w:rsidRDefault="00127C3A" w:rsidP="00127C3A">
            <w:pPr>
              <w:jc w:val="center"/>
              <w:rPr>
                <w:lang w:val="en-GB"/>
              </w:rPr>
            </w:pPr>
            <w:r w:rsidRPr="00127C3A">
              <w:rPr>
                <w:lang w:val="en-GB"/>
              </w:rPr>
              <w:t>100</w:t>
            </w:r>
          </w:p>
        </w:tc>
        <w:tc>
          <w:tcPr>
            <w:tcW w:w="1418" w:type="dxa"/>
            <w:tcBorders>
              <w:top w:val="single" w:sz="4" w:space="0" w:color="auto"/>
              <w:bottom w:val="nil"/>
            </w:tcBorders>
            <w:shd w:val="clear" w:color="auto" w:fill="auto"/>
          </w:tcPr>
          <w:p w:rsidR="00127C3A" w:rsidRPr="00127C3A" w:rsidRDefault="00127C3A" w:rsidP="00127C3A">
            <w:pPr>
              <w:jc w:val="center"/>
              <w:rPr>
                <w:lang w:val="en-GB"/>
              </w:rPr>
            </w:pPr>
            <w:r w:rsidRPr="00127C3A">
              <w:rPr>
                <w:lang w:val="en-GB"/>
              </w:rPr>
              <w:t>85</w:t>
            </w:r>
          </w:p>
        </w:tc>
        <w:tc>
          <w:tcPr>
            <w:tcW w:w="1417" w:type="dxa"/>
            <w:tcBorders>
              <w:top w:val="single" w:sz="4" w:space="0" w:color="auto"/>
              <w:bottom w:val="nil"/>
            </w:tcBorders>
          </w:tcPr>
          <w:p w:rsidR="00127C3A" w:rsidRPr="00127C3A" w:rsidRDefault="00127C3A" w:rsidP="00127C3A">
            <w:pPr>
              <w:jc w:val="center"/>
              <w:rPr>
                <w:lang w:val="en-GB"/>
              </w:rPr>
            </w:pPr>
            <w:r w:rsidRPr="00127C3A">
              <w:rPr>
                <w:lang w:val="en-GB"/>
              </w:rPr>
              <w:t>85.0</w:t>
            </w:r>
          </w:p>
        </w:tc>
        <w:tc>
          <w:tcPr>
            <w:tcW w:w="1559" w:type="dxa"/>
            <w:tcBorders>
              <w:top w:val="single" w:sz="4" w:space="0" w:color="auto"/>
              <w:bottom w:val="nil"/>
            </w:tcBorders>
          </w:tcPr>
          <w:p w:rsidR="00127C3A" w:rsidRPr="00127C3A" w:rsidRDefault="00127C3A" w:rsidP="00127C3A">
            <w:pPr>
              <w:jc w:val="center"/>
              <w:rPr>
                <w:lang w:val="en-GB"/>
              </w:rPr>
            </w:pPr>
            <w:r w:rsidRPr="00127C3A">
              <w:rPr>
                <w:lang w:val="en-GB"/>
              </w:rPr>
              <w:t>10</w:t>
            </w:r>
          </w:p>
        </w:tc>
      </w:tr>
      <w:tr w:rsidR="00127C3A" w:rsidRPr="001A7DD8" w:rsidTr="00127C3A">
        <w:tc>
          <w:tcPr>
            <w:tcW w:w="1078" w:type="dxa"/>
            <w:vMerge/>
            <w:tcBorders>
              <w:top w:val="nil"/>
              <w:bottom w:val="nil"/>
            </w:tcBorders>
            <w:shd w:val="clear" w:color="auto" w:fill="auto"/>
            <w:vAlign w:val="center"/>
          </w:tcPr>
          <w:p w:rsidR="00127C3A" w:rsidRPr="00127C3A" w:rsidRDefault="00127C3A" w:rsidP="00127C3A">
            <w:pPr>
              <w:ind w:left="225"/>
              <w:jc w:val="left"/>
              <w:rPr>
                <w:rFonts w:eastAsia="Times New Roman"/>
                <w:lang w:val="en-GB"/>
              </w:rPr>
            </w:pPr>
          </w:p>
        </w:tc>
        <w:tc>
          <w:tcPr>
            <w:tcW w:w="1984" w:type="dxa"/>
            <w:tcBorders>
              <w:top w:val="nil"/>
              <w:bottom w:val="nil"/>
            </w:tcBorders>
            <w:shd w:val="clear" w:color="auto" w:fill="auto"/>
          </w:tcPr>
          <w:p w:rsidR="00127C3A" w:rsidRPr="00127C3A" w:rsidRDefault="00127C3A" w:rsidP="00127C3A">
            <w:pPr>
              <w:jc w:val="center"/>
              <w:rPr>
                <w:lang w:val="en-GB"/>
              </w:rPr>
            </w:pPr>
            <w:r w:rsidRPr="00127C3A">
              <w:rPr>
                <w:lang w:val="en-GB"/>
              </w:rPr>
              <w:t>200</w:t>
            </w:r>
          </w:p>
        </w:tc>
        <w:tc>
          <w:tcPr>
            <w:tcW w:w="1418" w:type="dxa"/>
            <w:tcBorders>
              <w:top w:val="nil"/>
              <w:bottom w:val="nil"/>
            </w:tcBorders>
            <w:shd w:val="clear" w:color="auto" w:fill="auto"/>
          </w:tcPr>
          <w:p w:rsidR="00127C3A" w:rsidRPr="00127C3A" w:rsidRDefault="00127C3A" w:rsidP="00127C3A">
            <w:pPr>
              <w:jc w:val="center"/>
              <w:rPr>
                <w:lang w:val="en-GB"/>
              </w:rPr>
            </w:pPr>
            <w:r w:rsidRPr="00127C3A">
              <w:rPr>
                <w:lang w:val="en-GB"/>
              </w:rPr>
              <w:t>177</w:t>
            </w:r>
          </w:p>
        </w:tc>
        <w:tc>
          <w:tcPr>
            <w:tcW w:w="1417" w:type="dxa"/>
            <w:tcBorders>
              <w:top w:val="nil"/>
              <w:bottom w:val="nil"/>
            </w:tcBorders>
          </w:tcPr>
          <w:p w:rsidR="00127C3A" w:rsidRPr="00127C3A" w:rsidRDefault="00127C3A" w:rsidP="00127C3A">
            <w:pPr>
              <w:jc w:val="center"/>
              <w:rPr>
                <w:lang w:val="en-GB"/>
              </w:rPr>
            </w:pPr>
            <w:r w:rsidRPr="00127C3A">
              <w:rPr>
                <w:lang w:val="en-GB"/>
              </w:rPr>
              <w:t>88.5</w:t>
            </w:r>
          </w:p>
        </w:tc>
        <w:tc>
          <w:tcPr>
            <w:tcW w:w="1559" w:type="dxa"/>
            <w:tcBorders>
              <w:top w:val="nil"/>
              <w:bottom w:val="nil"/>
            </w:tcBorders>
          </w:tcPr>
          <w:p w:rsidR="00127C3A" w:rsidRPr="00127C3A" w:rsidRDefault="00127C3A" w:rsidP="00127C3A">
            <w:pPr>
              <w:jc w:val="center"/>
              <w:rPr>
                <w:lang w:val="en-GB"/>
              </w:rPr>
            </w:pPr>
            <w:r w:rsidRPr="00127C3A">
              <w:rPr>
                <w:lang w:val="en-GB"/>
              </w:rPr>
              <w:t>9</w:t>
            </w:r>
          </w:p>
        </w:tc>
      </w:tr>
      <w:tr w:rsidR="00127C3A" w:rsidRPr="001A7DD8" w:rsidTr="00127C3A">
        <w:tc>
          <w:tcPr>
            <w:tcW w:w="1078" w:type="dxa"/>
            <w:vMerge/>
            <w:tcBorders>
              <w:top w:val="nil"/>
              <w:bottom w:val="nil"/>
            </w:tcBorders>
            <w:shd w:val="clear" w:color="auto" w:fill="auto"/>
            <w:vAlign w:val="center"/>
          </w:tcPr>
          <w:p w:rsidR="00127C3A" w:rsidRPr="00127C3A" w:rsidRDefault="00127C3A" w:rsidP="00127C3A">
            <w:pPr>
              <w:ind w:left="225"/>
              <w:jc w:val="left"/>
              <w:rPr>
                <w:rFonts w:eastAsia="Times New Roman"/>
                <w:lang w:val="en-GB"/>
              </w:rPr>
            </w:pPr>
          </w:p>
        </w:tc>
        <w:tc>
          <w:tcPr>
            <w:tcW w:w="1984" w:type="dxa"/>
            <w:tcBorders>
              <w:top w:val="nil"/>
              <w:bottom w:val="nil"/>
            </w:tcBorders>
            <w:shd w:val="clear" w:color="auto" w:fill="auto"/>
          </w:tcPr>
          <w:p w:rsidR="00127C3A" w:rsidRPr="00127C3A" w:rsidRDefault="00127C3A" w:rsidP="00127C3A">
            <w:pPr>
              <w:jc w:val="center"/>
              <w:rPr>
                <w:lang w:val="en-GB"/>
              </w:rPr>
            </w:pPr>
            <w:r w:rsidRPr="00127C3A">
              <w:rPr>
                <w:lang w:val="en-GB"/>
              </w:rPr>
              <w:t>400</w:t>
            </w:r>
          </w:p>
        </w:tc>
        <w:tc>
          <w:tcPr>
            <w:tcW w:w="1418" w:type="dxa"/>
            <w:tcBorders>
              <w:top w:val="nil"/>
              <w:bottom w:val="nil"/>
            </w:tcBorders>
            <w:shd w:val="clear" w:color="auto" w:fill="auto"/>
          </w:tcPr>
          <w:p w:rsidR="00127C3A" w:rsidRPr="00127C3A" w:rsidRDefault="00127C3A" w:rsidP="00127C3A">
            <w:pPr>
              <w:jc w:val="center"/>
              <w:rPr>
                <w:lang w:val="en-GB"/>
              </w:rPr>
            </w:pPr>
            <w:r w:rsidRPr="00127C3A">
              <w:rPr>
                <w:lang w:val="en-GB"/>
              </w:rPr>
              <w:t>374</w:t>
            </w:r>
          </w:p>
        </w:tc>
        <w:tc>
          <w:tcPr>
            <w:tcW w:w="1417" w:type="dxa"/>
            <w:tcBorders>
              <w:top w:val="nil"/>
              <w:bottom w:val="nil"/>
            </w:tcBorders>
          </w:tcPr>
          <w:p w:rsidR="00127C3A" w:rsidRPr="00127C3A" w:rsidRDefault="00127C3A" w:rsidP="00127C3A">
            <w:pPr>
              <w:jc w:val="center"/>
              <w:rPr>
                <w:lang w:val="en-GB"/>
              </w:rPr>
            </w:pPr>
            <w:r w:rsidRPr="00127C3A">
              <w:rPr>
                <w:lang w:val="en-GB"/>
              </w:rPr>
              <w:t>93.5</w:t>
            </w:r>
          </w:p>
        </w:tc>
        <w:tc>
          <w:tcPr>
            <w:tcW w:w="1559" w:type="dxa"/>
            <w:tcBorders>
              <w:top w:val="nil"/>
              <w:bottom w:val="nil"/>
            </w:tcBorders>
          </w:tcPr>
          <w:p w:rsidR="00127C3A" w:rsidRPr="00127C3A" w:rsidRDefault="00127C3A" w:rsidP="00127C3A">
            <w:pPr>
              <w:jc w:val="center"/>
              <w:rPr>
                <w:lang w:val="en-GB"/>
              </w:rPr>
            </w:pPr>
            <w:r w:rsidRPr="00127C3A">
              <w:rPr>
                <w:lang w:val="en-GB"/>
              </w:rPr>
              <w:t>7</w:t>
            </w:r>
          </w:p>
        </w:tc>
      </w:tr>
      <w:tr w:rsidR="00127C3A" w:rsidRPr="001A7DD8" w:rsidTr="00127C3A">
        <w:tc>
          <w:tcPr>
            <w:tcW w:w="1078" w:type="dxa"/>
            <w:vMerge/>
            <w:tcBorders>
              <w:top w:val="nil"/>
              <w:bottom w:val="single" w:sz="4" w:space="0" w:color="auto"/>
            </w:tcBorders>
            <w:shd w:val="clear" w:color="auto" w:fill="auto"/>
            <w:vAlign w:val="center"/>
          </w:tcPr>
          <w:p w:rsidR="00127C3A" w:rsidRPr="00127C3A" w:rsidRDefault="00127C3A" w:rsidP="00127C3A">
            <w:pPr>
              <w:ind w:left="225"/>
              <w:jc w:val="left"/>
              <w:rPr>
                <w:rFonts w:eastAsia="Times New Roman"/>
                <w:lang w:val="en-GB"/>
              </w:rPr>
            </w:pPr>
          </w:p>
        </w:tc>
        <w:tc>
          <w:tcPr>
            <w:tcW w:w="1984" w:type="dxa"/>
            <w:tcBorders>
              <w:top w:val="nil"/>
              <w:bottom w:val="single" w:sz="4" w:space="0" w:color="auto"/>
            </w:tcBorders>
            <w:shd w:val="clear" w:color="auto" w:fill="auto"/>
          </w:tcPr>
          <w:p w:rsidR="00127C3A" w:rsidRPr="00127C3A" w:rsidRDefault="00127C3A" w:rsidP="00127C3A">
            <w:pPr>
              <w:jc w:val="center"/>
              <w:rPr>
                <w:lang w:val="en-GB"/>
              </w:rPr>
            </w:pPr>
            <w:r w:rsidRPr="00127C3A">
              <w:rPr>
                <w:lang w:val="en-GB"/>
              </w:rPr>
              <w:t>800</w:t>
            </w:r>
          </w:p>
        </w:tc>
        <w:tc>
          <w:tcPr>
            <w:tcW w:w="1418" w:type="dxa"/>
            <w:tcBorders>
              <w:top w:val="nil"/>
              <w:bottom w:val="single" w:sz="4" w:space="0" w:color="auto"/>
            </w:tcBorders>
            <w:shd w:val="clear" w:color="auto" w:fill="auto"/>
          </w:tcPr>
          <w:p w:rsidR="00127C3A" w:rsidRPr="00127C3A" w:rsidRDefault="00127C3A" w:rsidP="00127C3A">
            <w:pPr>
              <w:jc w:val="center"/>
              <w:rPr>
                <w:lang w:val="en-GB"/>
              </w:rPr>
            </w:pPr>
            <w:r w:rsidRPr="00127C3A">
              <w:rPr>
                <w:lang w:val="en-GB"/>
              </w:rPr>
              <w:t>743</w:t>
            </w:r>
          </w:p>
        </w:tc>
        <w:tc>
          <w:tcPr>
            <w:tcW w:w="1417" w:type="dxa"/>
            <w:tcBorders>
              <w:top w:val="nil"/>
              <w:bottom w:val="single" w:sz="4" w:space="0" w:color="auto"/>
            </w:tcBorders>
          </w:tcPr>
          <w:p w:rsidR="00127C3A" w:rsidRPr="00127C3A" w:rsidRDefault="00127C3A" w:rsidP="00127C3A">
            <w:pPr>
              <w:jc w:val="center"/>
              <w:rPr>
                <w:lang w:val="en-GB"/>
              </w:rPr>
            </w:pPr>
            <w:r w:rsidRPr="00127C3A">
              <w:rPr>
                <w:lang w:val="en-GB"/>
              </w:rPr>
              <w:t>92.8</w:t>
            </w:r>
          </w:p>
        </w:tc>
        <w:tc>
          <w:tcPr>
            <w:tcW w:w="1559" w:type="dxa"/>
            <w:tcBorders>
              <w:top w:val="nil"/>
              <w:bottom w:val="single" w:sz="4" w:space="0" w:color="auto"/>
            </w:tcBorders>
          </w:tcPr>
          <w:p w:rsidR="00127C3A" w:rsidRPr="00127C3A" w:rsidRDefault="00127C3A" w:rsidP="00127C3A">
            <w:pPr>
              <w:jc w:val="center"/>
              <w:rPr>
                <w:lang w:val="en-GB"/>
              </w:rPr>
            </w:pPr>
            <w:r w:rsidRPr="00127C3A">
              <w:rPr>
                <w:lang w:val="en-GB"/>
              </w:rPr>
              <w:t>6</w:t>
            </w:r>
          </w:p>
        </w:tc>
      </w:tr>
      <w:tr w:rsidR="00127C3A" w:rsidRPr="001A7DD8" w:rsidTr="00127C3A">
        <w:tc>
          <w:tcPr>
            <w:tcW w:w="1078" w:type="dxa"/>
            <w:vMerge w:val="restart"/>
            <w:tcBorders>
              <w:top w:val="single" w:sz="4" w:space="0" w:color="auto"/>
            </w:tcBorders>
            <w:shd w:val="clear" w:color="auto" w:fill="auto"/>
            <w:vAlign w:val="center"/>
          </w:tcPr>
          <w:p w:rsidR="00127C3A" w:rsidRPr="00127C3A" w:rsidRDefault="00127C3A" w:rsidP="00127C3A">
            <w:pPr>
              <w:ind w:left="225"/>
              <w:jc w:val="left"/>
              <w:rPr>
                <w:iCs/>
              </w:rPr>
            </w:pPr>
            <w:r w:rsidRPr="00127C3A">
              <w:rPr>
                <w:iCs/>
              </w:rPr>
              <w:t>MWNT</w:t>
            </w:r>
          </w:p>
        </w:tc>
        <w:tc>
          <w:tcPr>
            <w:tcW w:w="1984" w:type="dxa"/>
            <w:tcBorders>
              <w:top w:val="single" w:sz="4" w:space="0" w:color="auto"/>
            </w:tcBorders>
            <w:shd w:val="clear" w:color="auto" w:fill="auto"/>
          </w:tcPr>
          <w:p w:rsidR="00127C3A" w:rsidRPr="00127C3A" w:rsidRDefault="00127C3A" w:rsidP="00127C3A">
            <w:pPr>
              <w:jc w:val="center"/>
              <w:rPr>
                <w:lang w:val="en-GB"/>
              </w:rPr>
            </w:pPr>
            <w:r w:rsidRPr="00127C3A">
              <w:rPr>
                <w:lang w:val="en-GB"/>
              </w:rPr>
              <w:t>100</w:t>
            </w:r>
          </w:p>
        </w:tc>
        <w:tc>
          <w:tcPr>
            <w:tcW w:w="1418" w:type="dxa"/>
            <w:tcBorders>
              <w:top w:val="single" w:sz="4" w:space="0" w:color="auto"/>
            </w:tcBorders>
            <w:shd w:val="clear" w:color="auto" w:fill="auto"/>
          </w:tcPr>
          <w:p w:rsidR="00127C3A" w:rsidRPr="00127C3A" w:rsidRDefault="00127C3A" w:rsidP="00127C3A">
            <w:pPr>
              <w:jc w:val="center"/>
              <w:rPr>
                <w:lang w:val="en-GB"/>
              </w:rPr>
            </w:pPr>
            <w:r w:rsidRPr="00127C3A">
              <w:rPr>
                <w:lang w:val="en-GB"/>
              </w:rPr>
              <w:t>35</w:t>
            </w:r>
          </w:p>
        </w:tc>
        <w:tc>
          <w:tcPr>
            <w:tcW w:w="1417" w:type="dxa"/>
            <w:tcBorders>
              <w:top w:val="single" w:sz="4" w:space="0" w:color="auto"/>
            </w:tcBorders>
          </w:tcPr>
          <w:p w:rsidR="00127C3A" w:rsidRPr="00127C3A" w:rsidRDefault="00127C3A" w:rsidP="00127C3A">
            <w:pPr>
              <w:jc w:val="center"/>
              <w:rPr>
                <w:lang w:val="en-GB"/>
              </w:rPr>
            </w:pPr>
            <w:r w:rsidRPr="00127C3A">
              <w:rPr>
                <w:lang w:val="en-GB"/>
              </w:rPr>
              <w:t>5.0</w:t>
            </w:r>
          </w:p>
        </w:tc>
        <w:tc>
          <w:tcPr>
            <w:tcW w:w="1559" w:type="dxa"/>
            <w:tcBorders>
              <w:top w:val="single" w:sz="4" w:space="0" w:color="auto"/>
            </w:tcBorders>
          </w:tcPr>
          <w:p w:rsidR="00127C3A" w:rsidRPr="00127C3A" w:rsidRDefault="00127C3A" w:rsidP="00127C3A">
            <w:pPr>
              <w:jc w:val="center"/>
              <w:rPr>
                <w:lang w:val="en-GB"/>
              </w:rPr>
            </w:pPr>
            <w:r w:rsidRPr="00127C3A">
              <w:rPr>
                <w:lang w:val="en-GB"/>
              </w:rPr>
              <w:t>20</w:t>
            </w:r>
          </w:p>
        </w:tc>
      </w:tr>
      <w:tr w:rsidR="00127C3A" w:rsidRPr="001A7DD8" w:rsidTr="00127C3A">
        <w:tc>
          <w:tcPr>
            <w:tcW w:w="1078" w:type="dxa"/>
            <w:vMerge/>
            <w:shd w:val="clear" w:color="auto" w:fill="auto"/>
            <w:vAlign w:val="center"/>
          </w:tcPr>
          <w:p w:rsidR="00127C3A" w:rsidRPr="00127C3A" w:rsidRDefault="00127C3A" w:rsidP="00127C3A">
            <w:pPr>
              <w:ind w:left="225"/>
              <w:jc w:val="left"/>
              <w:rPr>
                <w:rFonts w:eastAsia="Times New Roman"/>
              </w:rPr>
            </w:pPr>
          </w:p>
        </w:tc>
        <w:tc>
          <w:tcPr>
            <w:tcW w:w="1984" w:type="dxa"/>
            <w:shd w:val="clear" w:color="auto" w:fill="auto"/>
          </w:tcPr>
          <w:p w:rsidR="00127C3A" w:rsidRPr="00127C3A" w:rsidRDefault="00127C3A" w:rsidP="00127C3A">
            <w:pPr>
              <w:jc w:val="center"/>
              <w:rPr>
                <w:lang w:val="en-GB"/>
              </w:rPr>
            </w:pPr>
            <w:r w:rsidRPr="00127C3A">
              <w:rPr>
                <w:lang w:val="en-GB"/>
              </w:rPr>
              <w:t>200</w:t>
            </w:r>
          </w:p>
        </w:tc>
        <w:tc>
          <w:tcPr>
            <w:tcW w:w="1418" w:type="dxa"/>
            <w:shd w:val="clear" w:color="auto" w:fill="auto"/>
          </w:tcPr>
          <w:p w:rsidR="00127C3A" w:rsidRPr="00127C3A" w:rsidRDefault="00127C3A" w:rsidP="00127C3A">
            <w:pPr>
              <w:jc w:val="center"/>
              <w:rPr>
                <w:lang w:val="en-GB"/>
              </w:rPr>
            </w:pPr>
            <w:r w:rsidRPr="00127C3A">
              <w:rPr>
                <w:lang w:val="en-GB"/>
              </w:rPr>
              <w:t>129</w:t>
            </w:r>
          </w:p>
        </w:tc>
        <w:tc>
          <w:tcPr>
            <w:tcW w:w="1417" w:type="dxa"/>
          </w:tcPr>
          <w:p w:rsidR="00127C3A" w:rsidRPr="00127C3A" w:rsidRDefault="00127C3A" w:rsidP="00127C3A">
            <w:pPr>
              <w:jc w:val="center"/>
              <w:rPr>
                <w:lang w:val="en-GB"/>
              </w:rPr>
            </w:pPr>
            <w:r w:rsidRPr="00127C3A">
              <w:rPr>
                <w:lang w:val="en-GB"/>
              </w:rPr>
              <w:t>64.5</w:t>
            </w:r>
          </w:p>
        </w:tc>
        <w:tc>
          <w:tcPr>
            <w:tcW w:w="1559" w:type="dxa"/>
          </w:tcPr>
          <w:p w:rsidR="00127C3A" w:rsidRPr="00127C3A" w:rsidRDefault="00127C3A" w:rsidP="00127C3A">
            <w:pPr>
              <w:jc w:val="center"/>
              <w:rPr>
                <w:lang w:val="en-GB"/>
              </w:rPr>
            </w:pPr>
            <w:r w:rsidRPr="00127C3A">
              <w:rPr>
                <w:lang w:val="en-GB"/>
              </w:rPr>
              <w:t>17</w:t>
            </w:r>
          </w:p>
        </w:tc>
      </w:tr>
      <w:tr w:rsidR="00127C3A" w:rsidRPr="001A7DD8" w:rsidTr="00127C3A">
        <w:tc>
          <w:tcPr>
            <w:tcW w:w="1078" w:type="dxa"/>
            <w:vMerge/>
            <w:shd w:val="clear" w:color="auto" w:fill="auto"/>
            <w:vAlign w:val="center"/>
          </w:tcPr>
          <w:p w:rsidR="00127C3A" w:rsidRPr="00127C3A" w:rsidRDefault="00127C3A" w:rsidP="00127C3A">
            <w:pPr>
              <w:ind w:left="225"/>
              <w:jc w:val="left"/>
            </w:pPr>
          </w:p>
        </w:tc>
        <w:tc>
          <w:tcPr>
            <w:tcW w:w="1984" w:type="dxa"/>
            <w:shd w:val="clear" w:color="auto" w:fill="auto"/>
          </w:tcPr>
          <w:p w:rsidR="00127C3A" w:rsidRPr="00127C3A" w:rsidRDefault="00127C3A" w:rsidP="00127C3A">
            <w:pPr>
              <w:jc w:val="center"/>
              <w:rPr>
                <w:lang w:val="en-GB"/>
              </w:rPr>
            </w:pPr>
            <w:r w:rsidRPr="00127C3A">
              <w:rPr>
                <w:lang w:val="en-GB"/>
              </w:rPr>
              <w:t>400</w:t>
            </w:r>
          </w:p>
        </w:tc>
        <w:tc>
          <w:tcPr>
            <w:tcW w:w="1418" w:type="dxa"/>
            <w:shd w:val="clear" w:color="auto" w:fill="auto"/>
          </w:tcPr>
          <w:p w:rsidR="00127C3A" w:rsidRPr="00127C3A" w:rsidRDefault="00127C3A" w:rsidP="00127C3A">
            <w:pPr>
              <w:jc w:val="center"/>
              <w:rPr>
                <w:lang w:val="en-GB"/>
              </w:rPr>
            </w:pPr>
            <w:r w:rsidRPr="00127C3A">
              <w:rPr>
                <w:lang w:val="en-GB"/>
              </w:rPr>
              <w:t>310</w:t>
            </w:r>
          </w:p>
        </w:tc>
        <w:tc>
          <w:tcPr>
            <w:tcW w:w="1417" w:type="dxa"/>
          </w:tcPr>
          <w:p w:rsidR="00127C3A" w:rsidRPr="00127C3A" w:rsidRDefault="00127C3A" w:rsidP="00127C3A">
            <w:pPr>
              <w:jc w:val="center"/>
              <w:rPr>
                <w:lang w:val="en-GB"/>
              </w:rPr>
            </w:pPr>
            <w:r w:rsidRPr="00127C3A">
              <w:rPr>
                <w:lang w:val="en-GB"/>
              </w:rPr>
              <w:t>77.5</w:t>
            </w:r>
          </w:p>
        </w:tc>
        <w:tc>
          <w:tcPr>
            <w:tcW w:w="1559" w:type="dxa"/>
          </w:tcPr>
          <w:p w:rsidR="00127C3A" w:rsidRPr="00127C3A" w:rsidRDefault="00127C3A" w:rsidP="00127C3A">
            <w:pPr>
              <w:jc w:val="center"/>
              <w:rPr>
                <w:lang w:val="en-GB"/>
              </w:rPr>
            </w:pPr>
            <w:r w:rsidRPr="00127C3A">
              <w:rPr>
                <w:lang w:val="en-GB"/>
              </w:rPr>
              <w:t>14</w:t>
            </w:r>
          </w:p>
        </w:tc>
      </w:tr>
      <w:tr w:rsidR="00127C3A" w:rsidRPr="001A7DD8" w:rsidTr="00127C3A">
        <w:tc>
          <w:tcPr>
            <w:tcW w:w="1078" w:type="dxa"/>
            <w:vMerge/>
            <w:shd w:val="clear" w:color="auto" w:fill="auto"/>
            <w:vAlign w:val="center"/>
          </w:tcPr>
          <w:p w:rsidR="00127C3A" w:rsidRPr="00127C3A" w:rsidRDefault="00127C3A" w:rsidP="00127C3A">
            <w:pPr>
              <w:ind w:left="225"/>
              <w:jc w:val="left"/>
              <w:rPr>
                <w:rFonts w:eastAsia="Times New Roman"/>
              </w:rPr>
            </w:pPr>
          </w:p>
        </w:tc>
        <w:tc>
          <w:tcPr>
            <w:tcW w:w="1984" w:type="dxa"/>
            <w:shd w:val="clear" w:color="auto" w:fill="auto"/>
          </w:tcPr>
          <w:p w:rsidR="00127C3A" w:rsidRPr="00127C3A" w:rsidRDefault="00127C3A" w:rsidP="00127C3A">
            <w:pPr>
              <w:jc w:val="center"/>
              <w:rPr>
                <w:lang w:val="en-GB"/>
              </w:rPr>
            </w:pPr>
            <w:r w:rsidRPr="00127C3A">
              <w:rPr>
                <w:lang w:val="en-GB"/>
              </w:rPr>
              <w:t>800</w:t>
            </w:r>
          </w:p>
        </w:tc>
        <w:tc>
          <w:tcPr>
            <w:tcW w:w="1418" w:type="dxa"/>
            <w:shd w:val="clear" w:color="auto" w:fill="auto"/>
          </w:tcPr>
          <w:p w:rsidR="00127C3A" w:rsidRPr="00127C3A" w:rsidRDefault="00127C3A" w:rsidP="00127C3A">
            <w:pPr>
              <w:jc w:val="center"/>
              <w:rPr>
                <w:lang w:val="en-GB"/>
              </w:rPr>
            </w:pPr>
            <w:r w:rsidRPr="00127C3A">
              <w:rPr>
                <w:lang w:val="en-GB"/>
              </w:rPr>
              <w:t>633</w:t>
            </w:r>
          </w:p>
        </w:tc>
        <w:tc>
          <w:tcPr>
            <w:tcW w:w="1417" w:type="dxa"/>
          </w:tcPr>
          <w:p w:rsidR="00127C3A" w:rsidRPr="00127C3A" w:rsidRDefault="00127C3A" w:rsidP="00127C3A">
            <w:pPr>
              <w:jc w:val="center"/>
              <w:rPr>
                <w:lang w:val="en-GB"/>
              </w:rPr>
            </w:pPr>
            <w:r w:rsidRPr="00127C3A">
              <w:rPr>
                <w:lang w:val="en-GB"/>
              </w:rPr>
              <w:t>79.1</w:t>
            </w:r>
          </w:p>
        </w:tc>
        <w:tc>
          <w:tcPr>
            <w:tcW w:w="1559" w:type="dxa"/>
          </w:tcPr>
          <w:p w:rsidR="00127C3A" w:rsidRPr="00127C3A" w:rsidRDefault="00127C3A" w:rsidP="00127C3A">
            <w:pPr>
              <w:jc w:val="center"/>
              <w:rPr>
                <w:lang w:val="en-GB"/>
              </w:rPr>
            </w:pPr>
            <w:r w:rsidRPr="00127C3A">
              <w:rPr>
                <w:lang w:val="en-GB"/>
              </w:rPr>
              <w:t>12</w:t>
            </w:r>
          </w:p>
        </w:tc>
      </w:tr>
    </w:tbl>
    <w:p w:rsidR="00A73EE2" w:rsidRPr="00325902" w:rsidRDefault="00A73EE2" w:rsidP="00340C64">
      <w:pPr>
        <w:pStyle w:val="MDPI21heading1"/>
      </w:pPr>
      <w:r>
        <w:t>5. Conclusions</w:t>
      </w:r>
    </w:p>
    <w:p w:rsidR="00127C3A" w:rsidRDefault="00127C3A" w:rsidP="00567B5A">
      <w:pPr>
        <w:pStyle w:val="MDPI31text"/>
      </w:pPr>
      <w:r w:rsidRPr="00127C3A">
        <w:t>In this work, a simple, easy-to-use, cost-effective and disposable electrochemical tool for the quantification of pollutants, such as hydroquinone and p-benzoquinone, has been described. This method, based on SPEs modified with different CNMs, has been deeply studied and characterized. Initially, the proposed electrochemical platforms were co</w:t>
      </w:r>
      <w:r w:rsidRPr="00127C3A">
        <w:t>m</w:t>
      </w:r>
      <w:r w:rsidRPr="00127C3A">
        <w:t>pared in terms of the electrochemical performances using cyclic and square wave vol</w:t>
      </w:r>
      <w:r w:rsidRPr="00127C3A">
        <w:t>t</w:t>
      </w:r>
      <w:r w:rsidRPr="00127C3A">
        <w:t>ammetry as analytical tools for their characterization. These preliminary studies demo</w:t>
      </w:r>
      <w:r w:rsidRPr="00127C3A">
        <w:t>n</w:t>
      </w:r>
      <w:r w:rsidRPr="00127C3A">
        <w:t>strated that the carbon nanomaterials used to modify the SPEs produce several i</w:t>
      </w:r>
      <w:r w:rsidRPr="00127C3A">
        <w:t>m</w:t>
      </w:r>
      <w:r w:rsidRPr="00127C3A">
        <w:t>provements in the sensitivity, repeatability and signal to noise ratio of the serigraphic platforms in comparison to the bare-SPE. Moreover, CNMs-based SPEs were used to quantify HD and BQ both in buffer solutions and in water (using spiked samples) using CV and SWV as detection techniques. Precisely, SWNT-SPEs showed the best analytical performances in terms of LOD (0.04 and 0.05µM) and reproducibility (RSD% 5 and 8) with regards to HQ and BQ detection in buffer solutions. In addition, CNMs modified SPEs were also used to analyze HQ and BQ in water (real matrix). As for the buffer sol</w:t>
      </w:r>
      <w:r w:rsidRPr="00127C3A">
        <w:t>u</w:t>
      </w:r>
      <w:r w:rsidRPr="00127C3A">
        <w:t xml:space="preserve">tion, also in this case SWNT-SPEs gave the best results, with a LOD (SWV) of 2.2 µM for HQ and 1.7 for BQ; reproducibility was also good, with an RSD% of 10% for HQ and 11% for BQ. These results demonstrated the applicability of these </w:t>
      </w:r>
      <w:proofErr w:type="spellStart"/>
      <w:r w:rsidRPr="00127C3A">
        <w:t>nano</w:t>
      </w:r>
      <w:proofErr w:type="spellEnd"/>
      <w:r w:rsidRPr="00127C3A">
        <w:t>-engineered platforms as rapid, sensitive, and accurate lab-on-chip devices for pollutants determinations. I</w:t>
      </w:r>
      <w:r w:rsidRPr="00127C3A">
        <w:t>n</w:t>
      </w:r>
      <w:r w:rsidRPr="00127C3A">
        <w:t>deed, an incredible improvement was obtained by comparing the analytical perfo</w:t>
      </w:r>
      <w:r w:rsidRPr="00127C3A">
        <w:t>r</w:t>
      </w:r>
      <w:r w:rsidRPr="00127C3A">
        <w:t>mances of our platforms to bare SPEs (LOD of 132.3 µM for HQ and 121.2µM for BQ). Lastly, a recovery study using SWNT-SPEs in comparison of bare electrodes was co</w:t>
      </w:r>
      <w:r w:rsidRPr="00127C3A">
        <w:t>n</w:t>
      </w:r>
      <w:r w:rsidRPr="00127C3A">
        <w:lastRenderedPageBreak/>
        <w:t>ducted. The high percent recovery values (95 to 92.8 %) obtained for the spiked samples proved once again the powerfulness of these platforms with a negligible matrix effect.</w:t>
      </w:r>
    </w:p>
    <w:p w:rsidR="00B5315D" w:rsidRDefault="00B5315D" w:rsidP="00A73EE2">
      <w:pPr>
        <w:pStyle w:val="MDPI62BackMatter"/>
        <w:rPr>
          <w:b/>
        </w:rPr>
      </w:pPr>
      <w:r>
        <w:rPr>
          <w:b/>
        </w:rPr>
        <w:t xml:space="preserve">Corresponding </w:t>
      </w:r>
      <w:r w:rsidRPr="00613B31">
        <w:rPr>
          <w:b/>
        </w:rPr>
        <w:t>Author:</w:t>
      </w:r>
      <w:r w:rsidRPr="00613B31">
        <w:t xml:space="preserve"> </w:t>
      </w:r>
      <w:r w:rsidRPr="00B5315D">
        <w:t xml:space="preserve">Laura Micheli, Dept. of Chemical Science and Technologies, University of Rome “Tor </w:t>
      </w:r>
      <w:proofErr w:type="spellStart"/>
      <w:r w:rsidRPr="00B5315D">
        <w:t>Vergata</w:t>
      </w:r>
      <w:proofErr w:type="spellEnd"/>
      <w:r w:rsidRPr="00B5315D">
        <w:t xml:space="preserve">”, Via </w:t>
      </w:r>
      <w:proofErr w:type="spellStart"/>
      <w:r w:rsidRPr="00B5315D">
        <w:t>della</w:t>
      </w:r>
      <w:proofErr w:type="spellEnd"/>
      <w:r w:rsidRPr="00B5315D">
        <w:t xml:space="preserve"> </w:t>
      </w:r>
      <w:proofErr w:type="spellStart"/>
      <w:r w:rsidRPr="00B5315D">
        <w:t>Ricerca</w:t>
      </w:r>
      <w:proofErr w:type="spellEnd"/>
      <w:r w:rsidRPr="00B5315D">
        <w:t xml:space="preserve"> </w:t>
      </w:r>
      <w:proofErr w:type="spellStart"/>
      <w:r w:rsidRPr="00B5315D">
        <w:t>Scientifica</w:t>
      </w:r>
      <w:proofErr w:type="spellEnd"/>
      <w:r w:rsidRPr="00B5315D">
        <w:t xml:space="preserve">, 000133, Rome, Italy, e-mail: </w:t>
      </w:r>
      <w:hyperlink r:id="rId32" w:history="1">
        <w:r w:rsidRPr="003007DE">
          <w:rPr>
            <w:rStyle w:val="Collegamentoipertestuale"/>
          </w:rPr>
          <w:t>laura.micheli@uniroma2.it</w:t>
        </w:r>
      </w:hyperlink>
      <w:r>
        <w:t xml:space="preserve"> </w:t>
      </w:r>
    </w:p>
    <w:p w:rsidR="00A73EE2" w:rsidRDefault="00A73EE2" w:rsidP="00A73EE2">
      <w:pPr>
        <w:pStyle w:val="MDPI62BackMatter"/>
      </w:pPr>
      <w:r w:rsidRPr="00613B31">
        <w:rPr>
          <w:b/>
        </w:rPr>
        <w:t>Author Contributions:</w:t>
      </w:r>
      <w:r w:rsidRPr="00613B31">
        <w:t xml:space="preserve"> </w:t>
      </w:r>
      <w:r w:rsidR="00127C3A" w:rsidRPr="00127C3A">
        <w:t xml:space="preserve">Conceptualization, </w:t>
      </w:r>
      <w:r w:rsidR="009D277A">
        <w:t>L.F., A</w:t>
      </w:r>
      <w:r w:rsidR="00127C3A" w:rsidRPr="00127C3A">
        <w:t>.</w:t>
      </w:r>
      <w:r w:rsidR="009D277A">
        <w:t xml:space="preserve">M., S.B. </w:t>
      </w:r>
      <w:r w:rsidR="00127C3A" w:rsidRPr="00127C3A">
        <w:t xml:space="preserve">and L.M.; Methodology, </w:t>
      </w:r>
      <w:r w:rsidR="009D277A">
        <w:t>A</w:t>
      </w:r>
      <w:r w:rsidR="00127C3A" w:rsidRPr="00127C3A">
        <w:t>.</w:t>
      </w:r>
      <w:r w:rsidR="009D277A">
        <w:t>D</w:t>
      </w:r>
      <w:r w:rsidR="00127C3A" w:rsidRPr="00127C3A">
        <w:t>.</w:t>
      </w:r>
      <w:r w:rsidR="009D277A">
        <w:t>T.</w:t>
      </w:r>
      <w:r w:rsidR="00127C3A" w:rsidRPr="00127C3A">
        <w:t xml:space="preserve">, </w:t>
      </w:r>
      <w:r w:rsidR="009D277A">
        <w:t xml:space="preserve">R.C., </w:t>
      </w:r>
      <w:r w:rsidR="009F48E0">
        <w:t>A.C., P.K., S.M., M.S., L.M.,</w:t>
      </w:r>
      <w:r w:rsidR="00127C3A" w:rsidRPr="00127C3A">
        <w:t xml:space="preserve"> </w:t>
      </w:r>
      <w:r w:rsidR="009D277A">
        <w:t>Material preparation</w:t>
      </w:r>
      <w:r w:rsidR="00127C3A" w:rsidRPr="00127C3A">
        <w:t xml:space="preserve">, </w:t>
      </w:r>
      <w:r w:rsidR="009D277A">
        <w:t>A</w:t>
      </w:r>
      <w:r w:rsidR="00127C3A" w:rsidRPr="00127C3A">
        <w:t>.</w:t>
      </w:r>
      <w:r w:rsidR="009F48E0">
        <w:t>D.T., R.C., P.M., A.C., A.P., M.S.</w:t>
      </w:r>
      <w:r w:rsidR="00127C3A" w:rsidRPr="00127C3A">
        <w:t>; Data Cur</w:t>
      </w:r>
      <w:r w:rsidR="00127C3A" w:rsidRPr="00127C3A">
        <w:t>a</w:t>
      </w:r>
      <w:r w:rsidR="00127C3A" w:rsidRPr="00127C3A">
        <w:t xml:space="preserve">tion, </w:t>
      </w:r>
      <w:r w:rsidR="009F48E0">
        <w:t xml:space="preserve">A.D.T., R.C., P.M., </w:t>
      </w:r>
      <w:r w:rsidR="00127C3A" w:rsidRPr="00127C3A">
        <w:t xml:space="preserve">L.M.; Writing – Original Draft Preparation </w:t>
      </w:r>
      <w:r w:rsidR="009F48E0">
        <w:t>A</w:t>
      </w:r>
      <w:r w:rsidR="00127C3A" w:rsidRPr="00127C3A">
        <w:t>.</w:t>
      </w:r>
      <w:r w:rsidR="009F48E0">
        <w:t>D</w:t>
      </w:r>
      <w:r w:rsidR="00127C3A" w:rsidRPr="00127C3A">
        <w:t>.</w:t>
      </w:r>
      <w:r w:rsidR="009F48E0">
        <w:t>T.</w:t>
      </w:r>
      <w:r w:rsidR="00127C3A" w:rsidRPr="00127C3A">
        <w:t xml:space="preserve">, </w:t>
      </w:r>
      <w:r w:rsidR="009F48E0">
        <w:t>R.C.</w:t>
      </w:r>
      <w:r w:rsidR="00127C3A" w:rsidRPr="00127C3A">
        <w:t xml:space="preserve">, </w:t>
      </w:r>
      <w:r w:rsidR="009F48E0">
        <w:t>A.C, M.S.</w:t>
      </w:r>
      <w:r w:rsidR="00127C3A" w:rsidRPr="00127C3A">
        <w:t xml:space="preserve">; Writing – Review &amp; Editing, </w:t>
      </w:r>
      <w:r w:rsidR="009F48E0">
        <w:t xml:space="preserve">L.F., A.M., S.M., S.B., L.M. </w:t>
      </w:r>
      <w:r w:rsidR="00127C3A" w:rsidRPr="00127C3A">
        <w:t xml:space="preserve">X.X.; Supervision, </w:t>
      </w:r>
      <w:r w:rsidR="009F48E0">
        <w:t xml:space="preserve">P.K., S.M., </w:t>
      </w:r>
      <w:r w:rsidR="00127C3A" w:rsidRPr="00127C3A">
        <w:t xml:space="preserve">A.M, L.M.; Funding Acquisition, </w:t>
      </w:r>
      <w:r w:rsidR="009F48E0">
        <w:t xml:space="preserve">P.K., S.M., </w:t>
      </w:r>
      <w:r w:rsidR="00127C3A" w:rsidRPr="00127C3A">
        <w:t>A.M.”</w:t>
      </w:r>
    </w:p>
    <w:p w:rsidR="00A73EE2" w:rsidRPr="00613B31" w:rsidRDefault="00A73EE2" w:rsidP="00A73EE2">
      <w:pPr>
        <w:pStyle w:val="MDPI62BackMatter"/>
      </w:pPr>
      <w:r w:rsidRPr="00613B31">
        <w:rPr>
          <w:b/>
        </w:rPr>
        <w:t>Funding:</w:t>
      </w:r>
      <w:r w:rsidRPr="00613B31">
        <w:t xml:space="preserve"> </w:t>
      </w:r>
      <w:r w:rsidR="00127C3A" w:rsidRPr="00127C3A">
        <w:t xml:space="preserve">This work was partially supported by the Project “2D material-based low cost </w:t>
      </w:r>
      <w:proofErr w:type="spellStart"/>
      <w:r w:rsidR="00127C3A" w:rsidRPr="00127C3A">
        <w:t>SENSor</w:t>
      </w:r>
      <w:proofErr w:type="spellEnd"/>
      <w:r w:rsidR="00127C3A" w:rsidRPr="00127C3A">
        <w:t xml:space="preserve"> of aggressive </w:t>
      </w:r>
      <w:proofErr w:type="spellStart"/>
      <w:r w:rsidR="00127C3A" w:rsidRPr="00127C3A">
        <w:t>substancEs</w:t>
      </w:r>
      <w:proofErr w:type="spellEnd"/>
      <w:r w:rsidR="00127C3A" w:rsidRPr="00127C3A">
        <w:t xml:space="preserve"> (2DSENSE)”, funded by NATO under the SPS </w:t>
      </w:r>
      <w:proofErr w:type="spellStart"/>
      <w:r w:rsidR="00127C3A" w:rsidRPr="00127C3A">
        <w:t>Programme</w:t>
      </w:r>
      <w:proofErr w:type="spellEnd"/>
      <w:r w:rsidR="00127C3A" w:rsidRPr="00127C3A">
        <w:t>, grant # G5777 (2020-2024).</w:t>
      </w:r>
    </w:p>
    <w:p w:rsidR="00F94282" w:rsidRPr="00613B31" w:rsidRDefault="00F94282" w:rsidP="00F94282">
      <w:pPr>
        <w:pStyle w:val="MDPI62BackMatter"/>
      </w:pPr>
      <w:bookmarkStart w:id="3" w:name="_Hlk60054323"/>
      <w:r w:rsidRPr="007D75A8">
        <w:rPr>
          <w:b/>
        </w:rPr>
        <w:t xml:space="preserve">Data Availability Statement: </w:t>
      </w:r>
      <w:r w:rsidR="00AA7C53">
        <w:t>Not applicable</w:t>
      </w:r>
      <w:r w:rsidRPr="007D75A8">
        <w:t>.</w:t>
      </w:r>
    </w:p>
    <w:bookmarkEnd w:id="3"/>
    <w:p w:rsidR="009D277A" w:rsidRPr="009F48E0" w:rsidRDefault="00A73EE2" w:rsidP="009F48E0">
      <w:pPr>
        <w:pStyle w:val="MDPI62BackMatter"/>
      </w:pPr>
      <w:r w:rsidRPr="00613B31">
        <w:rPr>
          <w:b/>
        </w:rPr>
        <w:t>Conflicts of Interest:</w:t>
      </w:r>
      <w:r w:rsidRPr="00613B31">
        <w:t xml:space="preserve"> The authors declare no conflict of interest.</w:t>
      </w:r>
    </w:p>
    <w:p w:rsidR="00A73EE2" w:rsidRPr="00FA04F1" w:rsidRDefault="00A73EE2" w:rsidP="0082460C">
      <w:pPr>
        <w:pStyle w:val="MDPI21heading1"/>
        <w:ind w:left="0"/>
      </w:pPr>
      <w:r w:rsidRPr="00FA04F1">
        <w:t>References</w:t>
      </w:r>
    </w:p>
    <w:p w:rsidR="00A73EE2" w:rsidRPr="00325902" w:rsidRDefault="00A73EE2" w:rsidP="00926DAC">
      <w:pPr>
        <w:pStyle w:val="MDPI71References"/>
        <w:numPr>
          <w:ilvl w:val="0"/>
          <w:numId w:val="0"/>
        </w:numPr>
        <w:ind w:left="425"/>
      </w:pP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fldChar w:fldCharType="begin"/>
      </w:r>
      <w:r w:rsidRPr="00B5315D">
        <w:rPr>
          <w:rFonts w:eastAsia="Times New Roman"/>
          <w:noProof w:val="0"/>
          <w:sz w:val="18"/>
          <w:lang w:eastAsia="de-DE" w:bidi="en-US"/>
        </w:rPr>
        <w:instrText xml:space="preserve"> ADDIN ZOTERO_BIBL {"uncited":[],"omitted":[],"custom":[]} CSL_BIBLIOGRAPHY </w:instrText>
      </w:r>
      <w:r w:rsidRPr="00B5315D">
        <w:rPr>
          <w:rFonts w:eastAsia="Times New Roman"/>
          <w:noProof w:val="0"/>
          <w:sz w:val="18"/>
          <w:lang w:eastAsia="de-DE" w:bidi="en-US"/>
        </w:rPr>
        <w:fldChar w:fldCharType="separate"/>
      </w:r>
      <w:r w:rsidRPr="00B5315D">
        <w:rPr>
          <w:rFonts w:eastAsia="Times New Roman"/>
          <w:noProof w:val="0"/>
          <w:sz w:val="18"/>
          <w:lang w:eastAsia="de-DE" w:bidi="en-US"/>
        </w:rPr>
        <w:t>1</w:t>
      </w:r>
      <w:r>
        <w:rPr>
          <w:rFonts w:eastAsia="Times New Roman"/>
          <w:noProof w:val="0"/>
          <w:sz w:val="18"/>
          <w:lang w:eastAsia="de-DE" w:bidi="en-US"/>
        </w:rPr>
        <w:t>.</w:t>
      </w:r>
      <w:r w:rsidRPr="00B5315D">
        <w:rPr>
          <w:rFonts w:eastAsia="Times New Roman"/>
          <w:noProof w:val="0"/>
          <w:sz w:val="18"/>
          <w:lang w:eastAsia="de-DE" w:bidi="en-US"/>
        </w:rPr>
        <w:tab/>
        <w:t>D. Vallero, Controlling Air Pollution from Sources, in: Fundam. Air Pollut., Elsevier, 2014: pp. 881–925. https://doi.org/10.1016/B978-0-12-401733-7.00031-1.</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w:t>
      </w:r>
      <w:r>
        <w:rPr>
          <w:rFonts w:eastAsia="Times New Roman"/>
          <w:noProof w:val="0"/>
          <w:sz w:val="18"/>
          <w:lang w:eastAsia="de-DE" w:bidi="en-US"/>
        </w:rPr>
        <w:t>.</w:t>
      </w:r>
      <w:r w:rsidRPr="00B5315D">
        <w:rPr>
          <w:rFonts w:eastAsia="Times New Roman"/>
          <w:noProof w:val="0"/>
          <w:sz w:val="18"/>
          <w:lang w:eastAsia="de-DE" w:bidi="en-US"/>
        </w:rPr>
        <w:tab/>
        <w:t>H. Jaeger, N. Meneses, D. Knorr, Food Technologies: Pulsed Electric Field Technology, in: Encycl. Food Saf., Elsevier, 2014: pp. 239–244. https://doi.org/10.1016/B978-0-12-378612-8.00260-2.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3</w:t>
      </w:r>
      <w:r>
        <w:rPr>
          <w:rFonts w:eastAsia="Times New Roman"/>
          <w:noProof w:val="0"/>
          <w:sz w:val="18"/>
          <w:lang w:eastAsia="de-DE" w:bidi="en-US"/>
        </w:rPr>
        <w:t>.</w:t>
      </w:r>
      <w:r w:rsidRPr="00B5315D">
        <w:rPr>
          <w:rFonts w:eastAsia="Times New Roman"/>
          <w:noProof w:val="0"/>
          <w:sz w:val="18"/>
          <w:lang w:eastAsia="de-DE" w:bidi="en-US"/>
        </w:rPr>
        <w:tab/>
        <w:t>L. Hou, X. Zhang, D. Wang, A. Baccarelli, Environmental chemical exposures and human epigenetics, Int. J. Epidemiol. 41 (2012) 79–105. https://doi.org/10.1093/ije/dyr154.</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4</w:t>
      </w:r>
      <w:r>
        <w:rPr>
          <w:rFonts w:eastAsia="Times New Roman"/>
          <w:noProof w:val="0"/>
          <w:sz w:val="18"/>
          <w:lang w:eastAsia="de-DE" w:bidi="en-US"/>
        </w:rPr>
        <w:t>.</w:t>
      </w:r>
      <w:r w:rsidRPr="00B5315D">
        <w:rPr>
          <w:rFonts w:eastAsia="Times New Roman"/>
          <w:noProof w:val="0"/>
          <w:sz w:val="18"/>
          <w:lang w:eastAsia="de-DE" w:bidi="en-US"/>
        </w:rPr>
        <w:tab/>
        <w:t>F.J. Enguita, A.L. Leitão, Hydroquinone: Environmental Pollution, Toxicity, and Microbial Answers, BioMed Res. Int. 2013 (2013) 1–14. https://doi.org/10.1155/2013/542168.</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5</w:t>
      </w:r>
      <w:r>
        <w:rPr>
          <w:rFonts w:eastAsia="Times New Roman"/>
          <w:noProof w:val="0"/>
          <w:sz w:val="18"/>
          <w:lang w:eastAsia="de-DE" w:bidi="en-US"/>
        </w:rPr>
        <w:t>.</w:t>
      </w:r>
      <w:r w:rsidRPr="00B5315D">
        <w:rPr>
          <w:rFonts w:eastAsia="Times New Roman"/>
          <w:noProof w:val="0"/>
          <w:sz w:val="18"/>
          <w:lang w:eastAsia="de-DE" w:bidi="en-US"/>
        </w:rPr>
        <w:tab/>
        <w:t>E.S. Johnson, S. Langård, Y.-S. Lin, A critique of benzene exposure in the general population, Sci. Total Environ. 374 (2007) 183–198. https://doi.org/10.1016/j.scitotenv.2006.11.045.</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6</w:t>
      </w:r>
      <w:r>
        <w:rPr>
          <w:rFonts w:eastAsia="Times New Roman"/>
          <w:noProof w:val="0"/>
          <w:sz w:val="18"/>
          <w:lang w:eastAsia="de-DE" w:bidi="en-US"/>
        </w:rPr>
        <w:t>.</w:t>
      </w:r>
      <w:r w:rsidRPr="00B5315D">
        <w:rPr>
          <w:rFonts w:eastAsia="Times New Roman"/>
          <w:noProof w:val="0"/>
          <w:sz w:val="18"/>
          <w:lang w:eastAsia="de-DE" w:bidi="en-US"/>
        </w:rPr>
        <w:tab/>
        <w:t>H. Bahadar, S. Mostafalou, M. Abdollahi, Current understandings and perspectives on non-cancer health effects of benzene: A global concern, Toxicol. Appl. Pharmacol. 276 (2014) 83–94. https://doi.org/10.1016/j.taap.2014.02.012.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7</w:t>
      </w:r>
      <w:r>
        <w:rPr>
          <w:rFonts w:eastAsia="Times New Roman"/>
          <w:noProof w:val="0"/>
          <w:sz w:val="18"/>
          <w:lang w:eastAsia="de-DE" w:bidi="en-US"/>
        </w:rPr>
        <w:t>.</w:t>
      </w:r>
      <w:r w:rsidRPr="00B5315D">
        <w:rPr>
          <w:rFonts w:eastAsia="Times New Roman"/>
          <w:noProof w:val="0"/>
          <w:sz w:val="18"/>
          <w:lang w:eastAsia="de-DE" w:bidi="en-US"/>
        </w:rPr>
        <w:tab/>
        <w:t>X. Yang, Y. Lu, F. He, F. Hou, C. Xing, P. Xu, Q.-F. Wang, Benzene metabolite hydroquinone promotes DNA homologous r</w:t>
      </w:r>
      <w:r w:rsidRPr="00B5315D">
        <w:rPr>
          <w:rFonts w:eastAsia="Times New Roman"/>
          <w:noProof w:val="0"/>
          <w:sz w:val="18"/>
          <w:lang w:eastAsia="de-DE" w:bidi="en-US"/>
        </w:rPr>
        <w:t>e</w:t>
      </w:r>
      <w:r w:rsidRPr="00B5315D">
        <w:rPr>
          <w:rFonts w:eastAsia="Times New Roman"/>
          <w:noProof w:val="0"/>
          <w:sz w:val="18"/>
          <w:lang w:eastAsia="de-DE" w:bidi="en-US"/>
        </w:rPr>
        <w:t>combination repair via the NF-κB pathway, Carcinogenesis. 40 (2019) 1021–1030. https://doi.org/10.1093/carcin/bgy157.</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8</w:t>
      </w:r>
      <w:r>
        <w:rPr>
          <w:rFonts w:eastAsia="Times New Roman"/>
          <w:noProof w:val="0"/>
          <w:sz w:val="18"/>
          <w:lang w:eastAsia="de-DE" w:bidi="en-US"/>
        </w:rPr>
        <w:t>.</w:t>
      </w:r>
      <w:r w:rsidRPr="00B5315D">
        <w:rPr>
          <w:rFonts w:eastAsia="Times New Roman"/>
          <w:noProof w:val="0"/>
          <w:sz w:val="18"/>
          <w:lang w:eastAsia="de-DE" w:bidi="en-US"/>
        </w:rPr>
        <w:tab/>
        <w:t>S.M. Rappaport, S. Kim, Q. Lan, R. Vermeulen, S. Waidyanatha, L. Zhang, G. Li, S. Yin, R.B. Hayes, N. Rothman, M.T. Smith, Evidence That Humans Metabolize Benzene via Two Pathways, Environ. Health Perspect. 117 (2009) 946–952. https://doi.org/10.1289/ehp.0800510.</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9</w:t>
      </w:r>
      <w:r>
        <w:rPr>
          <w:rFonts w:eastAsia="Times New Roman"/>
          <w:noProof w:val="0"/>
          <w:sz w:val="18"/>
          <w:lang w:eastAsia="de-DE" w:bidi="en-US"/>
        </w:rPr>
        <w:t>.</w:t>
      </w:r>
      <w:r w:rsidRPr="00B5315D">
        <w:rPr>
          <w:rFonts w:eastAsia="Times New Roman"/>
          <w:noProof w:val="0"/>
          <w:sz w:val="18"/>
          <w:lang w:eastAsia="de-DE" w:bidi="en-US"/>
        </w:rPr>
        <w:tab/>
        <w:t>C. Peng, D. Arthur, F. Liu, J. Lee, Q. Xia, M.F. Lavin, J.C. Ng, Genotoxicity of hydroquinone in A549 cells, Cell Biol. Toxicol. 29 (2013) 213–227. https://doi.org/10.1007/s10565-013-9247-0.</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10</w:t>
      </w:r>
      <w:r>
        <w:rPr>
          <w:rFonts w:eastAsia="Times New Roman"/>
          <w:noProof w:val="0"/>
          <w:sz w:val="18"/>
          <w:lang w:eastAsia="de-DE" w:bidi="en-US"/>
        </w:rPr>
        <w:t>.</w:t>
      </w:r>
      <w:r w:rsidRPr="00B5315D">
        <w:rPr>
          <w:rFonts w:eastAsia="Times New Roman"/>
          <w:noProof w:val="0"/>
          <w:sz w:val="18"/>
          <w:lang w:eastAsia="de-DE" w:bidi="en-US"/>
        </w:rPr>
        <w:tab/>
        <w:t>L. Roza, N. de Vogel, J.H.M. van Delft, Lack of clastogenic effects in cultured human lymphocytes treated with hydroquinone, Food Chem. Toxicol. 41 (2003) 1299–1305. https://doi.org/10.1016/S0278-6915(03)00118-2.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11</w:t>
      </w:r>
      <w:r>
        <w:rPr>
          <w:rFonts w:eastAsia="Times New Roman"/>
          <w:noProof w:val="0"/>
          <w:sz w:val="18"/>
          <w:lang w:eastAsia="de-DE" w:bidi="en-US"/>
        </w:rPr>
        <w:t>.</w:t>
      </w:r>
      <w:r w:rsidRPr="00B5315D">
        <w:rPr>
          <w:rFonts w:eastAsia="Times New Roman"/>
          <w:noProof w:val="0"/>
          <w:sz w:val="18"/>
          <w:lang w:eastAsia="de-DE" w:bidi="en-US"/>
        </w:rPr>
        <w:tab/>
        <w:t>C.W. Flickinger, The benzenediols: catechol, resorcinol and hydroquinone — a review of the industrial toxicology and current industrial exposure limits, Am. Ind. Hyg. Assoc. J. 37 (1976) 596–606. https://doi.org/10.1080/0002889768507526.</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12</w:t>
      </w:r>
      <w:r>
        <w:rPr>
          <w:rFonts w:eastAsia="Times New Roman"/>
          <w:noProof w:val="0"/>
          <w:sz w:val="18"/>
          <w:lang w:eastAsia="de-DE" w:bidi="en-US"/>
        </w:rPr>
        <w:t>.</w:t>
      </w:r>
      <w:r w:rsidRPr="00B5315D">
        <w:rPr>
          <w:rFonts w:eastAsia="Times New Roman"/>
          <w:noProof w:val="0"/>
          <w:sz w:val="18"/>
          <w:lang w:eastAsia="de-DE" w:bidi="en-US"/>
        </w:rPr>
        <w:tab/>
        <w:t>S. Suresh, V.C. Srivastava, I.M. Mishra, Adsorption of catechol, resorcinol, hydroquinone, and their derivatives: a review, Int. J. Energy Environ. Eng. 3 (2012) 32. https://doi.org/10.1186/2251-6832-3-32.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13</w:t>
      </w:r>
      <w:r>
        <w:rPr>
          <w:rFonts w:eastAsia="Times New Roman"/>
          <w:noProof w:val="0"/>
          <w:sz w:val="18"/>
          <w:lang w:eastAsia="de-DE" w:bidi="en-US"/>
        </w:rPr>
        <w:t>.</w:t>
      </w:r>
      <w:r w:rsidRPr="00B5315D">
        <w:rPr>
          <w:rFonts w:eastAsia="Times New Roman"/>
          <w:noProof w:val="0"/>
          <w:sz w:val="18"/>
          <w:lang w:eastAsia="de-DE" w:bidi="en-US"/>
        </w:rPr>
        <w:tab/>
        <w:t>S.-P. Choukem, D.T. Efie, S. Djiogue, F.F. Kaze, Y. Mboue-Djieka, T. Boudjeko, E. Dongo, J.-F. Gautier, A.-P. Kengne, Effects of hydroquinone-containing creams on capillary glycemia before and after serial hand washings in Africans, PLOS ONE. 13 (2018) e0202271. https://doi.org/10.1371/journal.pone.0202271.</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lastRenderedPageBreak/>
        <w:t>14</w:t>
      </w:r>
      <w:r>
        <w:rPr>
          <w:rFonts w:eastAsia="Times New Roman"/>
          <w:noProof w:val="0"/>
          <w:sz w:val="18"/>
          <w:lang w:eastAsia="de-DE" w:bidi="en-US"/>
        </w:rPr>
        <w:t>.</w:t>
      </w:r>
      <w:r w:rsidRPr="00B5315D">
        <w:rPr>
          <w:rFonts w:eastAsia="Times New Roman"/>
          <w:noProof w:val="0"/>
          <w:sz w:val="18"/>
          <w:lang w:eastAsia="de-DE" w:bidi="en-US"/>
        </w:rPr>
        <w:tab/>
        <w:t>F.J. Enguita, A.L. Leitão, Hydroquinone: Environmental Pollution, Toxicity, and Microbial Answers, BioMed Res. Int. 2013 (2013) 1–14. https://doi.org/10.1155/2013/542168.</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15</w:t>
      </w:r>
      <w:r>
        <w:rPr>
          <w:rFonts w:eastAsia="Times New Roman"/>
          <w:noProof w:val="0"/>
          <w:sz w:val="18"/>
          <w:lang w:eastAsia="de-DE" w:bidi="en-US"/>
        </w:rPr>
        <w:t>.</w:t>
      </w:r>
      <w:r w:rsidRPr="00B5315D">
        <w:rPr>
          <w:rFonts w:eastAsia="Times New Roman"/>
          <w:noProof w:val="0"/>
          <w:sz w:val="18"/>
          <w:lang w:eastAsia="de-DE" w:bidi="en-US"/>
        </w:rPr>
        <w:tab/>
        <w:t>J. Nordlund, P. Grimes, J. Ortonne, The safety of hydroquinone: The safety of hydroquinone, J. Eur. Acad. Dermatol. Venereol. 20 (2006) 781–787. https://doi.org/10.1111/j.1468-3083.2006.01670.x.</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16</w:t>
      </w:r>
      <w:r>
        <w:rPr>
          <w:rFonts w:eastAsia="Times New Roman"/>
          <w:noProof w:val="0"/>
          <w:sz w:val="18"/>
          <w:lang w:eastAsia="de-DE" w:bidi="en-US"/>
        </w:rPr>
        <w:t>.</w:t>
      </w:r>
      <w:r w:rsidRPr="00B5315D">
        <w:rPr>
          <w:rFonts w:eastAsia="Times New Roman"/>
          <w:noProof w:val="0"/>
          <w:sz w:val="18"/>
          <w:lang w:eastAsia="de-DE" w:bidi="en-US"/>
        </w:rPr>
        <w:tab/>
        <w:t>P.A. Carson, C.J. Mumford, Hazardous chemicals handbook, 2nd ed, Butterworth-Heinemann, Oxford</w:t>
      </w:r>
      <w:r w:rsidRPr="00B5315D">
        <w:rPr>
          <w:rFonts w:ascii="Times New Roman" w:eastAsia="Times New Roman" w:hAnsi="Times New Roman"/>
          <w:noProof w:val="0"/>
          <w:sz w:val="18"/>
          <w:lang w:eastAsia="de-DE" w:bidi="en-US"/>
        </w:rPr>
        <w:t> </w:t>
      </w:r>
      <w:r w:rsidRPr="00B5315D">
        <w:rPr>
          <w:rFonts w:eastAsia="Times New Roman"/>
          <w:noProof w:val="0"/>
          <w:sz w:val="18"/>
          <w:lang w:eastAsia="de-DE" w:bidi="en-US"/>
        </w:rPr>
        <w:t>; Boston, 2002.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17</w:t>
      </w:r>
      <w:r>
        <w:rPr>
          <w:rFonts w:eastAsia="Times New Roman"/>
          <w:noProof w:val="0"/>
          <w:sz w:val="18"/>
          <w:lang w:eastAsia="de-DE" w:bidi="en-US"/>
        </w:rPr>
        <w:t>.</w:t>
      </w:r>
      <w:r w:rsidRPr="00B5315D">
        <w:rPr>
          <w:rFonts w:eastAsia="Times New Roman"/>
          <w:noProof w:val="0"/>
          <w:sz w:val="18"/>
          <w:lang w:eastAsia="de-DE" w:bidi="en-US"/>
        </w:rPr>
        <w:tab/>
        <w:t>Z. Moldovan, D.E. Popa, I.G. David, M. Buleandra, I.A. Badea, A Derivative Spectrometric Method for Hydroquinone Dete</w:t>
      </w:r>
      <w:r w:rsidRPr="00B5315D">
        <w:rPr>
          <w:rFonts w:eastAsia="Times New Roman"/>
          <w:noProof w:val="0"/>
          <w:sz w:val="18"/>
          <w:lang w:eastAsia="de-DE" w:bidi="en-US"/>
        </w:rPr>
        <w:t>r</w:t>
      </w:r>
      <w:r w:rsidRPr="00B5315D">
        <w:rPr>
          <w:rFonts w:eastAsia="Times New Roman"/>
          <w:noProof w:val="0"/>
          <w:sz w:val="18"/>
          <w:lang w:eastAsia="de-DE" w:bidi="en-US"/>
        </w:rPr>
        <w:t>mination in the Presence of Kojic Acid, Glycolic Acid, and Ascorbic Acid, J. Spectrosc. 2017 (2017) 1–9. https://doi.org/10.1155/2017/6929520.</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18</w:t>
      </w:r>
      <w:r>
        <w:rPr>
          <w:rFonts w:eastAsia="Times New Roman"/>
          <w:noProof w:val="0"/>
          <w:sz w:val="18"/>
          <w:lang w:eastAsia="de-DE" w:bidi="en-US"/>
        </w:rPr>
        <w:t>.</w:t>
      </w:r>
      <w:r w:rsidRPr="00B5315D">
        <w:rPr>
          <w:rFonts w:eastAsia="Times New Roman"/>
          <w:noProof w:val="0"/>
          <w:sz w:val="18"/>
          <w:lang w:eastAsia="de-DE" w:bidi="en-US"/>
        </w:rPr>
        <w:tab/>
        <w:t>Y. Yuan, C. Li, J. Zhu, S. Liu, Z. Liu, J. Yang, M. Qiao, Y. Shi, R. Duan, X. Hu, Determination of hydroquinone based on the formation of Turnbull’s blue nanoparticles using resonance Rayleigh scattering, Anal. Methods. 7 (2015) 9347–9353. https://doi.org/10.1039/C5AY01174D.</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19</w:t>
      </w:r>
      <w:r>
        <w:rPr>
          <w:rFonts w:eastAsia="Times New Roman"/>
          <w:noProof w:val="0"/>
          <w:sz w:val="18"/>
          <w:lang w:eastAsia="de-DE" w:bidi="en-US"/>
        </w:rPr>
        <w:t>.</w:t>
      </w:r>
      <w:r w:rsidRPr="00B5315D">
        <w:rPr>
          <w:rFonts w:eastAsia="Times New Roman"/>
          <w:noProof w:val="0"/>
          <w:sz w:val="18"/>
          <w:lang w:eastAsia="de-DE" w:bidi="en-US"/>
        </w:rPr>
        <w:tab/>
        <w:t>P. Gimeno, A.-F. Maggio, M. Bancilhon, N. Lassu, H. Gornes, C. Brenier, L. Lempereur, HPLC–UV Method for the Identific</w:t>
      </w:r>
      <w:r w:rsidRPr="00B5315D">
        <w:rPr>
          <w:rFonts w:eastAsia="Times New Roman"/>
          <w:noProof w:val="0"/>
          <w:sz w:val="18"/>
          <w:lang w:eastAsia="de-DE" w:bidi="en-US"/>
        </w:rPr>
        <w:t>a</w:t>
      </w:r>
      <w:r w:rsidRPr="00B5315D">
        <w:rPr>
          <w:rFonts w:eastAsia="Times New Roman"/>
          <w:noProof w:val="0"/>
          <w:sz w:val="18"/>
          <w:lang w:eastAsia="de-DE" w:bidi="en-US"/>
        </w:rPr>
        <w:t>tion and Screening of Hydroquinone, Ethers of Hydroquinone and Corticosteroids Possibly Used as Skin-Whitening Agents in Illicit Cosmetic Products, J. Chromatogr. Sci. (2015) bmv147. https://doi.org/10.1093/chromsci/bmv147.</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20</w:t>
      </w:r>
      <w:r>
        <w:rPr>
          <w:rFonts w:eastAsia="Times New Roman"/>
          <w:noProof w:val="0"/>
          <w:sz w:val="18"/>
          <w:lang w:eastAsia="de-DE" w:bidi="en-US"/>
        </w:rPr>
        <w:t>.</w:t>
      </w:r>
      <w:r w:rsidRPr="00B5315D">
        <w:rPr>
          <w:rFonts w:eastAsia="Times New Roman"/>
          <w:noProof w:val="0"/>
          <w:sz w:val="18"/>
          <w:lang w:eastAsia="de-DE" w:bidi="en-US"/>
        </w:rPr>
        <w:tab/>
        <w:t>S. Uddin, A. Rauf, T.G. Kazi, H.I. Afridi, G. Lutfullah, Highly sensitive spectrometric method for determination of hydroqu</w:t>
      </w:r>
      <w:r w:rsidRPr="00B5315D">
        <w:rPr>
          <w:rFonts w:eastAsia="Times New Roman"/>
          <w:noProof w:val="0"/>
          <w:sz w:val="18"/>
          <w:lang w:eastAsia="de-DE" w:bidi="en-US"/>
        </w:rPr>
        <w:t>i</w:t>
      </w:r>
      <w:r w:rsidRPr="00B5315D">
        <w:rPr>
          <w:rFonts w:eastAsia="Times New Roman"/>
          <w:noProof w:val="0"/>
          <w:sz w:val="18"/>
          <w:lang w:eastAsia="de-DE" w:bidi="en-US"/>
        </w:rPr>
        <w:t>none in skin lightening creams: application in cosmetics: Highly sensitive spectrometric method for determination of hydr</w:t>
      </w:r>
      <w:r w:rsidRPr="00B5315D">
        <w:rPr>
          <w:rFonts w:eastAsia="Times New Roman"/>
          <w:noProof w:val="0"/>
          <w:sz w:val="18"/>
          <w:lang w:eastAsia="de-DE" w:bidi="en-US"/>
        </w:rPr>
        <w:t>o</w:t>
      </w:r>
      <w:r w:rsidRPr="00B5315D">
        <w:rPr>
          <w:rFonts w:eastAsia="Times New Roman"/>
          <w:noProof w:val="0"/>
          <w:sz w:val="18"/>
          <w:lang w:eastAsia="de-DE" w:bidi="en-US"/>
        </w:rPr>
        <w:t>quinone in skin, Int. J. Cosmet. Sci. 33 (2011) 132–137. https://doi.org/10.1111/j.1468-2494.2010.00599.x.</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21</w:t>
      </w:r>
      <w:r>
        <w:rPr>
          <w:rFonts w:eastAsia="Times New Roman"/>
          <w:noProof w:val="0"/>
          <w:sz w:val="18"/>
          <w:lang w:eastAsia="de-DE" w:bidi="en-US"/>
        </w:rPr>
        <w:t>.</w:t>
      </w:r>
      <w:r w:rsidRPr="00B5315D">
        <w:rPr>
          <w:rFonts w:eastAsia="Times New Roman"/>
          <w:noProof w:val="0"/>
          <w:sz w:val="18"/>
          <w:lang w:eastAsia="de-DE" w:bidi="en-US"/>
        </w:rPr>
        <w:tab/>
        <w:t>R. Cancelliere, A. Di Tinno, A.M. Di Lellis, Y. Tedeschi, S. Bellucci, K. Carbone, E. Signori, G. Contini, L. Micheli, An i</w:t>
      </w:r>
      <w:r w:rsidRPr="00B5315D">
        <w:rPr>
          <w:rFonts w:eastAsia="Times New Roman"/>
          <w:noProof w:val="0"/>
          <w:sz w:val="18"/>
          <w:lang w:eastAsia="de-DE" w:bidi="en-US"/>
        </w:rPr>
        <w:t>n</w:t>
      </w:r>
      <w:r w:rsidRPr="00B5315D">
        <w:rPr>
          <w:rFonts w:eastAsia="Times New Roman"/>
          <w:noProof w:val="0"/>
          <w:sz w:val="18"/>
          <w:lang w:eastAsia="de-DE" w:bidi="en-US"/>
        </w:rPr>
        <w:t>verse-designed electrochemical platform for analytical applications, Electrochem. Commun. 121 (2020) 106862. https://doi.org/10.1016/j.elecom.2020.106862.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22</w:t>
      </w:r>
      <w:r>
        <w:rPr>
          <w:rFonts w:eastAsia="Times New Roman"/>
          <w:noProof w:val="0"/>
          <w:sz w:val="18"/>
          <w:lang w:eastAsia="de-DE" w:bidi="en-US"/>
        </w:rPr>
        <w:t>.</w:t>
      </w:r>
      <w:r w:rsidRPr="00B5315D">
        <w:rPr>
          <w:rFonts w:eastAsia="Times New Roman"/>
          <w:noProof w:val="0"/>
          <w:sz w:val="18"/>
          <w:lang w:eastAsia="de-DE" w:bidi="en-US"/>
        </w:rPr>
        <w:tab/>
        <w:t>A. Di Tinno, R. Cancelliere, L. Micheli, Determination of Folic Acid Using Biosensors—A Short Review of Recent Progress, Sensors. 21 (2021) 3360. https://doi.org/10.3390/s21103360.</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23</w:t>
      </w:r>
      <w:r>
        <w:rPr>
          <w:rFonts w:eastAsia="Times New Roman"/>
          <w:noProof w:val="0"/>
          <w:sz w:val="18"/>
          <w:lang w:eastAsia="de-DE" w:bidi="en-US"/>
        </w:rPr>
        <w:t>.</w:t>
      </w:r>
      <w:r w:rsidRPr="00B5315D">
        <w:rPr>
          <w:rFonts w:eastAsia="Times New Roman"/>
          <w:noProof w:val="0"/>
          <w:sz w:val="18"/>
          <w:lang w:eastAsia="de-DE" w:bidi="en-US"/>
        </w:rPr>
        <w:tab/>
        <w:t>O.D. Renedo, M.A. Alonso-Lomillo, M.J.A. Martínez, Recent developments in the field of screen-printed electrodes and their related applications, Talanta. 73 (2007) 202–219. https://doi.org/10.1016/j.talanta.2007.03.050.</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24</w:t>
      </w:r>
      <w:r>
        <w:rPr>
          <w:rFonts w:eastAsia="Times New Roman"/>
          <w:noProof w:val="0"/>
          <w:sz w:val="18"/>
          <w:lang w:eastAsia="de-DE" w:bidi="en-US"/>
        </w:rPr>
        <w:t>.</w:t>
      </w:r>
      <w:r w:rsidRPr="00B5315D">
        <w:rPr>
          <w:rFonts w:eastAsia="Times New Roman"/>
          <w:noProof w:val="0"/>
          <w:sz w:val="18"/>
          <w:lang w:eastAsia="de-DE" w:bidi="en-US"/>
        </w:rPr>
        <w:tab/>
        <w:t>R. Cancelliere, A.D. Tinno, A. Cataldo, S. Bellucci, L. Micheli, Powerful Electron-Transfer Screen-Printed Platforms as Bi</w:t>
      </w:r>
      <w:r w:rsidRPr="00B5315D">
        <w:rPr>
          <w:rFonts w:eastAsia="Times New Roman"/>
          <w:noProof w:val="0"/>
          <w:sz w:val="18"/>
          <w:lang w:eastAsia="de-DE" w:bidi="en-US"/>
        </w:rPr>
        <w:t>o</w:t>
      </w:r>
      <w:r w:rsidRPr="00B5315D">
        <w:rPr>
          <w:rFonts w:eastAsia="Times New Roman"/>
          <w:noProof w:val="0"/>
          <w:sz w:val="18"/>
          <w:lang w:eastAsia="de-DE" w:bidi="en-US"/>
        </w:rPr>
        <w:t>sensing Tools: The Case of Uric Acid Biosensor, Biosensors. 12 (2021) 2. https://doi.org/10.3390/bios12010002.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25</w:t>
      </w:r>
      <w:r>
        <w:rPr>
          <w:rFonts w:eastAsia="Times New Roman"/>
          <w:noProof w:val="0"/>
          <w:sz w:val="18"/>
          <w:lang w:eastAsia="de-DE" w:bidi="en-US"/>
        </w:rPr>
        <w:t>.</w:t>
      </w:r>
      <w:r w:rsidRPr="00B5315D">
        <w:rPr>
          <w:rFonts w:eastAsia="Times New Roman"/>
          <w:noProof w:val="0"/>
          <w:sz w:val="18"/>
          <w:lang w:eastAsia="de-DE" w:bidi="en-US"/>
        </w:rPr>
        <w:tab/>
        <w:t>A. Dabrowska, S. Bellucci, A. Cataldo, F. Micciulla, A. Huczko, Nanocomposites of epoxy resin with graphene nanoplates and exfoliated graphite: Synthesis and electrical properties: Nanocomposites of epoxy resin with GNP and exfoliated graphite, Phys. Status Solidi B. 251 (2014) 2599–2602. https://doi.org/10.1002/pssb.201451175.</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26</w:t>
      </w:r>
      <w:r>
        <w:rPr>
          <w:rFonts w:eastAsia="Times New Roman"/>
          <w:noProof w:val="0"/>
          <w:sz w:val="18"/>
          <w:lang w:eastAsia="de-DE" w:bidi="en-US"/>
        </w:rPr>
        <w:t>.</w:t>
      </w:r>
      <w:r w:rsidRPr="00B5315D">
        <w:rPr>
          <w:rFonts w:eastAsia="Times New Roman"/>
          <w:noProof w:val="0"/>
          <w:sz w:val="18"/>
          <w:lang w:eastAsia="de-DE" w:bidi="en-US"/>
        </w:rPr>
        <w:tab/>
        <w:t>A. Maffucci, F. Micciulla, A. Cataldo, G. Miano, S. Bellucci, Bottom-up realization and electrical characterization of a gr</w:t>
      </w:r>
      <w:r w:rsidRPr="00B5315D">
        <w:rPr>
          <w:rFonts w:eastAsia="Times New Roman"/>
          <w:noProof w:val="0"/>
          <w:sz w:val="18"/>
          <w:lang w:eastAsia="de-DE" w:bidi="en-US"/>
        </w:rPr>
        <w:t>a</w:t>
      </w:r>
      <w:r w:rsidRPr="00B5315D">
        <w:rPr>
          <w:rFonts w:eastAsia="Times New Roman"/>
          <w:noProof w:val="0"/>
          <w:sz w:val="18"/>
          <w:lang w:eastAsia="de-DE" w:bidi="en-US"/>
        </w:rPr>
        <w:t>phene-based device, Nanotechnology. 27 (2016) 095204. https://doi.org/10.1088/0957-4484/27/9/095204.</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27</w:t>
      </w:r>
      <w:r>
        <w:rPr>
          <w:rFonts w:eastAsia="Times New Roman"/>
          <w:noProof w:val="0"/>
          <w:sz w:val="18"/>
          <w:lang w:eastAsia="de-DE" w:bidi="en-US"/>
        </w:rPr>
        <w:t>.</w:t>
      </w:r>
      <w:r w:rsidRPr="00B5315D">
        <w:rPr>
          <w:rFonts w:eastAsia="Times New Roman"/>
          <w:noProof w:val="0"/>
          <w:sz w:val="18"/>
          <w:lang w:eastAsia="de-DE" w:bidi="en-US"/>
        </w:rPr>
        <w:tab/>
        <w:t>F.J.V. Gomez, A. Martín, M.F. Silva, A. Escarpa, Screen-printed electrodes modified with carbon nanotubes or graphene for simultaneous determination of melatonin and serotonin, Microchim. Acta. 182 (2015) 1925–1931. https://doi.org/10.1007/s00604-015-1520-x.</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28</w:t>
      </w:r>
      <w:r>
        <w:rPr>
          <w:rFonts w:eastAsia="Times New Roman"/>
          <w:noProof w:val="0"/>
          <w:sz w:val="18"/>
          <w:lang w:eastAsia="de-DE" w:bidi="en-US"/>
        </w:rPr>
        <w:t>.</w:t>
      </w:r>
      <w:r w:rsidRPr="00B5315D">
        <w:rPr>
          <w:rFonts w:eastAsia="Times New Roman"/>
          <w:noProof w:val="0"/>
          <w:sz w:val="18"/>
          <w:lang w:eastAsia="de-DE" w:bidi="en-US"/>
        </w:rPr>
        <w:tab/>
        <w:t>K. R. Paton et al., “Scalable production of large quantities of defect-free few-layer graphene by shear exfoliation in liquids,” Nature Materials, Vol. 13, p.6, 2014.</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29</w:t>
      </w:r>
      <w:r>
        <w:rPr>
          <w:rFonts w:eastAsia="Times New Roman"/>
          <w:noProof w:val="0"/>
          <w:sz w:val="18"/>
          <w:lang w:eastAsia="de-DE" w:bidi="en-US"/>
        </w:rPr>
        <w:t>.</w:t>
      </w:r>
      <w:r w:rsidRPr="00B5315D">
        <w:rPr>
          <w:rFonts w:eastAsia="Times New Roman"/>
          <w:noProof w:val="0"/>
          <w:sz w:val="18"/>
          <w:lang w:eastAsia="de-DE" w:bidi="en-US"/>
        </w:rPr>
        <w:tab/>
        <w:t>R. Cancelliere, K. Carbone, M. Pagano, I. Cacciotti, L. Micheli, Biochar from Brewers’ Spent Grain: A Green and Low-Cost Smart Material to Modify Screen-Printed Electrodes, Biosensors. 9 (2019) 139. https://doi.org/10.3390/bios9040139.</w:t>
      </w:r>
    </w:p>
    <w:p w:rsidR="00B5315D" w:rsidRPr="00B5315D" w:rsidRDefault="00D64854" w:rsidP="00B5315D">
      <w:pPr>
        <w:pStyle w:val="Bibliografia"/>
        <w:spacing w:line="228" w:lineRule="auto"/>
        <w:ind w:left="425" w:hanging="425"/>
        <w:rPr>
          <w:rFonts w:eastAsia="Times New Roman"/>
          <w:noProof w:val="0"/>
          <w:sz w:val="18"/>
          <w:lang w:eastAsia="de-DE" w:bidi="en-US"/>
        </w:rPr>
      </w:pPr>
      <w:r>
        <w:rPr>
          <w:rFonts w:eastAsia="Times New Roman"/>
          <w:noProof w:val="0"/>
          <w:sz w:val="18"/>
          <w:lang w:eastAsia="de-DE" w:bidi="en-US"/>
        </w:rPr>
        <w:t>30</w:t>
      </w:r>
      <w:r w:rsidR="00B5315D">
        <w:rPr>
          <w:rFonts w:eastAsia="Times New Roman"/>
          <w:noProof w:val="0"/>
          <w:sz w:val="18"/>
          <w:lang w:eastAsia="de-DE" w:bidi="en-US"/>
        </w:rPr>
        <w:t>.</w:t>
      </w:r>
      <w:r w:rsidR="00B5315D" w:rsidRPr="00B5315D">
        <w:rPr>
          <w:rFonts w:eastAsia="Times New Roman"/>
          <w:noProof w:val="0"/>
          <w:sz w:val="18"/>
          <w:lang w:eastAsia="de-DE" w:bidi="en-US"/>
        </w:rPr>
        <w:tab/>
        <w:t>R. Cancelliere, D. Albano, B. Brugnoli, K. Buonasera, G. Leo, A. Margonelli, G. Rea, Electrochemical and morphological la</w:t>
      </w:r>
      <w:r w:rsidR="00B5315D" w:rsidRPr="00B5315D">
        <w:rPr>
          <w:rFonts w:eastAsia="Times New Roman"/>
          <w:noProof w:val="0"/>
          <w:sz w:val="18"/>
          <w:lang w:eastAsia="de-DE" w:bidi="en-US"/>
        </w:rPr>
        <w:t>y</w:t>
      </w:r>
      <w:r w:rsidR="00B5315D" w:rsidRPr="00B5315D">
        <w:rPr>
          <w:rFonts w:eastAsia="Times New Roman"/>
          <w:noProof w:val="0"/>
          <w:sz w:val="18"/>
          <w:lang w:eastAsia="de-DE" w:bidi="en-US"/>
        </w:rPr>
        <w:t>er-by-layer characterization of electrode interfaces during a label-free impedimetric immunosensor build-up: The case of ochratoxin A, Appl. Surf. Sci. 567 (2021) 150791. https://doi.org/10.1016/j.apsusc.2021.150791.</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lastRenderedPageBreak/>
        <w:t>3</w:t>
      </w:r>
      <w:r w:rsidR="00D64854">
        <w:rPr>
          <w:rFonts w:eastAsia="Times New Roman"/>
          <w:noProof w:val="0"/>
          <w:sz w:val="18"/>
          <w:lang w:eastAsia="de-DE" w:bidi="en-US"/>
        </w:rPr>
        <w:t>1</w:t>
      </w:r>
      <w:r>
        <w:rPr>
          <w:rFonts w:eastAsia="Times New Roman"/>
          <w:noProof w:val="0"/>
          <w:sz w:val="18"/>
          <w:lang w:eastAsia="de-DE" w:bidi="en-US"/>
        </w:rPr>
        <w:t>.</w:t>
      </w:r>
      <w:r w:rsidRPr="00B5315D">
        <w:rPr>
          <w:rFonts w:eastAsia="Times New Roman"/>
          <w:noProof w:val="0"/>
          <w:sz w:val="18"/>
          <w:lang w:eastAsia="de-DE" w:bidi="en-US"/>
        </w:rPr>
        <w:tab/>
        <w:t>J. Wang, Analytical electrochemistry, Wiley-VCH, Hoboken, N.J., 2006. http://www.123library.org/book_details/?id=48289 (accessed February 15, 2022).</w:t>
      </w:r>
    </w:p>
    <w:p w:rsidR="00B5315D" w:rsidRPr="00B5315D" w:rsidRDefault="00B5315D" w:rsidP="00B5315D">
      <w:pPr>
        <w:pStyle w:val="Bibliografia"/>
        <w:spacing w:line="228" w:lineRule="auto"/>
        <w:ind w:left="425" w:hanging="425"/>
        <w:rPr>
          <w:rFonts w:eastAsia="Times New Roman"/>
          <w:noProof w:val="0"/>
          <w:sz w:val="18"/>
          <w:lang w:eastAsia="de-DE" w:bidi="en-US"/>
        </w:rPr>
      </w:pPr>
      <w:r w:rsidRPr="00B5315D">
        <w:rPr>
          <w:rFonts w:eastAsia="Times New Roman"/>
          <w:noProof w:val="0"/>
          <w:sz w:val="18"/>
          <w:lang w:eastAsia="de-DE" w:bidi="en-US"/>
        </w:rPr>
        <w:t>3</w:t>
      </w:r>
      <w:r w:rsidR="00D64854">
        <w:rPr>
          <w:rFonts w:eastAsia="Times New Roman"/>
          <w:noProof w:val="0"/>
          <w:sz w:val="18"/>
          <w:lang w:eastAsia="de-DE" w:bidi="en-US"/>
        </w:rPr>
        <w:t>2</w:t>
      </w:r>
      <w:r>
        <w:rPr>
          <w:rFonts w:eastAsia="Times New Roman"/>
          <w:noProof w:val="0"/>
          <w:sz w:val="18"/>
          <w:lang w:eastAsia="de-DE" w:bidi="en-US"/>
        </w:rPr>
        <w:t>.</w:t>
      </w:r>
      <w:r w:rsidRPr="00B5315D">
        <w:rPr>
          <w:rFonts w:eastAsia="Times New Roman"/>
          <w:noProof w:val="0"/>
          <w:sz w:val="18"/>
          <w:lang w:eastAsia="de-DE" w:bidi="en-US"/>
        </w:rPr>
        <w:tab/>
        <w:t>R. Cancelliere, F. Zurlo, L. Micheli, S. Melino, Vegetable waste scaffolds for 3D-stem cell proliferating systems and low cost biosensors, Talanta. 223 (2021) 121671. https://doi.org/10.1016/j.talanta.2020.121671.</w:t>
      </w:r>
    </w:p>
    <w:p w:rsidR="00B5315D" w:rsidRDefault="00B5315D" w:rsidP="00B5315D">
      <w:pPr>
        <w:pStyle w:val="MDPI71References"/>
        <w:numPr>
          <w:ilvl w:val="0"/>
          <w:numId w:val="0"/>
        </w:numPr>
        <w:ind w:left="426" w:hanging="426"/>
      </w:pPr>
      <w:r w:rsidRPr="00B5315D">
        <w:fldChar w:fldCharType="end"/>
      </w:r>
    </w:p>
    <w:sectPr w:rsidR="00B5315D" w:rsidSect="0016413B">
      <w:headerReference w:type="even" r:id="rId33"/>
      <w:headerReference w:type="default" r:id="rId34"/>
      <w:footerReference w:type="default" r:id="rId35"/>
      <w:headerReference w:type="first" r:id="rId36"/>
      <w:footerReference w:type="first" r:id="rId37"/>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5C6" w:rsidRDefault="00FB15C6">
      <w:pPr>
        <w:spacing w:line="240" w:lineRule="auto"/>
      </w:pPr>
      <w:r>
        <w:separator/>
      </w:r>
    </w:p>
  </w:endnote>
  <w:endnote w:type="continuationSeparator" w:id="0">
    <w:p w:rsidR="00FB15C6" w:rsidRDefault="00FB15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DengXian">
    <w:altName w:val="Arial Unicode MS"/>
    <w:panose1 w:val="02010600030101010101"/>
    <w:charset w:val="86"/>
    <w:family w:val="auto"/>
    <w:pitch w:val="variable"/>
    <w:sig w:usb0="00000000" w:usb1="38CF7CFA" w:usb2="00000016" w:usb3="00000000" w:csb0="0004000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639" w:rsidRPr="001600FA" w:rsidRDefault="00122639" w:rsidP="00AB4F08">
    <w:pPr>
      <w:pStyle w:val="Pidipagina"/>
      <w:spacing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639" w:rsidRDefault="00122639" w:rsidP="00631113">
    <w:pPr>
      <w:pBdr>
        <w:top w:val="single" w:sz="4" w:space="0" w:color="000000"/>
      </w:pBdr>
      <w:tabs>
        <w:tab w:val="right" w:pos="8844"/>
      </w:tabs>
      <w:adjustRightInd w:val="0"/>
      <w:snapToGrid w:val="0"/>
      <w:spacing w:before="480" w:line="100" w:lineRule="exact"/>
      <w:jc w:val="left"/>
      <w:rPr>
        <w:i/>
        <w:sz w:val="16"/>
        <w:szCs w:val="16"/>
      </w:rPr>
    </w:pPr>
  </w:p>
  <w:p w:rsidR="00122639" w:rsidRPr="00372FCD" w:rsidRDefault="00122639" w:rsidP="00DA0812">
    <w:pPr>
      <w:tabs>
        <w:tab w:val="right" w:pos="10466"/>
      </w:tabs>
      <w:adjustRightInd w:val="0"/>
      <w:snapToGrid w:val="0"/>
      <w:spacing w:line="240" w:lineRule="auto"/>
      <w:rPr>
        <w:sz w:val="16"/>
        <w:szCs w:val="16"/>
        <w:lang w:val="fr-CH"/>
      </w:rPr>
    </w:pPr>
    <w:r w:rsidRPr="00E56DCF">
      <w:rPr>
        <w:i/>
        <w:sz w:val="16"/>
        <w:szCs w:val="16"/>
      </w:rPr>
      <w:t>Nanomaterials</w:t>
    </w:r>
    <w:r>
      <w:rPr>
        <w:i/>
        <w:sz w:val="16"/>
        <w:szCs w:val="16"/>
      </w:rPr>
      <w:t xml:space="preserve"> </w:t>
    </w:r>
    <w:r>
      <w:rPr>
        <w:b/>
        <w:bCs/>
        <w:iCs/>
        <w:sz w:val="16"/>
        <w:szCs w:val="16"/>
      </w:rPr>
      <w:t>2022</w:t>
    </w:r>
    <w:r w:rsidRPr="006A0C77">
      <w:rPr>
        <w:bCs/>
        <w:iCs/>
        <w:sz w:val="16"/>
        <w:szCs w:val="16"/>
      </w:rPr>
      <w:t>,</w:t>
    </w:r>
    <w:r>
      <w:rPr>
        <w:bCs/>
        <w:i/>
        <w:iCs/>
        <w:sz w:val="16"/>
        <w:szCs w:val="16"/>
      </w:rPr>
      <w:t xml:space="preserve"> 12</w:t>
    </w:r>
    <w:r w:rsidRPr="006A0C77">
      <w:rPr>
        <w:bCs/>
        <w:iCs/>
        <w:sz w:val="16"/>
        <w:szCs w:val="16"/>
      </w:rPr>
      <w:t xml:space="preserve">, </w:t>
    </w:r>
    <w:r>
      <w:rPr>
        <w:bCs/>
        <w:iCs/>
        <w:sz w:val="16"/>
        <w:szCs w:val="16"/>
      </w:rPr>
      <w:t>x. https://doi.org/10.3390/xxxxx</w:t>
    </w:r>
    <w:r w:rsidRPr="00372FCD">
      <w:rPr>
        <w:sz w:val="16"/>
        <w:szCs w:val="16"/>
        <w:lang w:val="fr-CH"/>
      </w:rPr>
      <w:tab/>
      <w:t>www.mdpi.com/journal/</w:t>
    </w:r>
    <w:r w:rsidRPr="00E56DCF">
      <w:rPr>
        <w:sz w:val="16"/>
        <w:szCs w:val="16"/>
      </w:rPr>
      <w:t>nanomaterials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5C6" w:rsidRDefault="00FB15C6">
      <w:pPr>
        <w:spacing w:line="240" w:lineRule="auto"/>
      </w:pPr>
      <w:r>
        <w:separator/>
      </w:r>
    </w:p>
  </w:footnote>
  <w:footnote w:type="continuationSeparator" w:id="0">
    <w:p w:rsidR="00FB15C6" w:rsidRDefault="00FB15C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639" w:rsidRDefault="00122639" w:rsidP="00AB4F08">
    <w:pPr>
      <w:pStyle w:val="Intestazione"/>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639" w:rsidRDefault="00122639" w:rsidP="00DA0812">
    <w:pPr>
      <w:tabs>
        <w:tab w:val="right" w:pos="10466"/>
      </w:tabs>
      <w:adjustRightInd w:val="0"/>
      <w:snapToGrid w:val="0"/>
      <w:spacing w:line="240" w:lineRule="auto"/>
      <w:rPr>
        <w:sz w:val="16"/>
      </w:rPr>
    </w:pPr>
    <w:r>
      <w:rPr>
        <w:i/>
        <w:sz w:val="16"/>
      </w:rPr>
      <w:t xml:space="preserve">Nanomaterials </w:t>
    </w:r>
    <w:r>
      <w:rPr>
        <w:b/>
        <w:sz w:val="16"/>
      </w:rPr>
      <w:t>2022</w:t>
    </w:r>
    <w:r w:rsidRPr="006A0C77">
      <w:rPr>
        <w:sz w:val="16"/>
      </w:rPr>
      <w:t>,</w:t>
    </w:r>
    <w:r>
      <w:rPr>
        <w:i/>
        <w:sz w:val="16"/>
      </w:rPr>
      <w:t xml:space="preserve"> 12</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sidR="001106BD">
      <w:rPr>
        <w:sz w:val="16"/>
      </w:rPr>
      <w:t>15</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sidR="001106BD">
      <w:rPr>
        <w:sz w:val="16"/>
      </w:rPr>
      <w:t>15</w:t>
    </w:r>
    <w:r>
      <w:rPr>
        <w:sz w:val="16"/>
      </w:rPr>
      <w:fldChar w:fldCharType="end"/>
    </w:r>
  </w:p>
  <w:p w:rsidR="00122639" w:rsidRPr="000F0936" w:rsidRDefault="00122639" w:rsidP="00631113">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487" w:type="dxa"/>
      <w:tblCellMar>
        <w:left w:w="0" w:type="dxa"/>
        <w:right w:w="0" w:type="dxa"/>
      </w:tblCellMar>
      <w:tblLook w:val="04A0" w:firstRow="1" w:lastRow="0" w:firstColumn="1" w:lastColumn="0" w:noHBand="0" w:noVBand="1"/>
    </w:tblPr>
    <w:tblGrid>
      <w:gridCol w:w="3679"/>
      <w:gridCol w:w="4535"/>
      <w:gridCol w:w="2273"/>
    </w:tblGrid>
    <w:tr w:rsidR="00122639" w:rsidRPr="00DA0812" w:rsidTr="00AA7C53">
      <w:trPr>
        <w:trHeight w:val="686"/>
      </w:trPr>
      <w:tc>
        <w:tcPr>
          <w:tcW w:w="3679" w:type="dxa"/>
          <w:shd w:val="clear" w:color="auto" w:fill="auto"/>
          <w:vAlign w:val="center"/>
        </w:tcPr>
        <w:p w:rsidR="00122639" w:rsidRPr="001A7DD8" w:rsidRDefault="00122639" w:rsidP="00DA0812">
          <w:pPr>
            <w:pStyle w:val="Intestazione"/>
            <w:pBdr>
              <w:bottom w:val="none" w:sz="0" w:space="0" w:color="auto"/>
            </w:pBdr>
            <w:jc w:val="left"/>
            <w:rPr>
              <w:rFonts w:eastAsia="DengXian"/>
              <w:b/>
              <w:bCs/>
            </w:rPr>
          </w:pPr>
          <w:r w:rsidRPr="001A7DD8">
            <w:rPr>
              <w:rFonts w:eastAsia="DengXian"/>
              <w:b/>
              <w:bCs/>
              <w:lang w:val="it-IT" w:eastAsia="it-IT"/>
            </w:rPr>
            <w:drawing>
              <wp:inline distT="0" distB="0" distL="0" distR="0" wp14:anchorId="63F537A8" wp14:editId="516521A4">
                <wp:extent cx="1711325" cy="436245"/>
                <wp:effectExtent l="0" t="0" r="0" b="0"/>
                <wp:docPr id="1" name="Picture 3" descr="C:\Users\home\AppData\Local\Temp\HZ$D.082.3356\Nanomaterial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356\Nanomaterials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1325" cy="436245"/>
                        </a:xfrm>
                        <a:prstGeom prst="rect">
                          <a:avLst/>
                        </a:prstGeom>
                        <a:noFill/>
                        <a:ln>
                          <a:noFill/>
                        </a:ln>
                      </pic:spPr>
                    </pic:pic>
                  </a:graphicData>
                </a:graphic>
              </wp:inline>
            </w:drawing>
          </w:r>
        </w:p>
      </w:tc>
      <w:tc>
        <w:tcPr>
          <w:tcW w:w="4535" w:type="dxa"/>
          <w:shd w:val="clear" w:color="auto" w:fill="auto"/>
          <w:vAlign w:val="center"/>
        </w:tcPr>
        <w:p w:rsidR="00122639" w:rsidRPr="001A7DD8" w:rsidRDefault="00122639" w:rsidP="00DA0812">
          <w:pPr>
            <w:pStyle w:val="Intestazione"/>
            <w:pBdr>
              <w:bottom w:val="none" w:sz="0" w:space="0" w:color="auto"/>
            </w:pBdr>
            <w:rPr>
              <w:rFonts w:eastAsia="DengXian"/>
              <w:b/>
              <w:bCs/>
            </w:rPr>
          </w:pPr>
        </w:p>
      </w:tc>
      <w:tc>
        <w:tcPr>
          <w:tcW w:w="2273" w:type="dxa"/>
          <w:shd w:val="clear" w:color="auto" w:fill="auto"/>
          <w:vAlign w:val="center"/>
        </w:tcPr>
        <w:p w:rsidR="00122639" w:rsidRPr="001A7DD8" w:rsidRDefault="00122639" w:rsidP="00AA7C53">
          <w:pPr>
            <w:pStyle w:val="Intestazione"/>
            <w:pBdr>
              <w:bottom w:val="none" w:sz="0" w:space="0" w:color="auto"/>
            </w:pBdr>
            <w:jc w:val="right"/>
            <w:rPr>
              <w:rFonts w:eastAsia="DengXian"/>
              <w:b/>
              <w:bCs/>
            </w:rPr>
          </w:pPr>
          <w:r>
            <w:rPr>
              <w:rFonts w:eastAsia="DengXian"/>
              <w:b/>
              <w:bCs/>
              <w:lang w:val="it-IT" w:eastAsia="it-IT"/>
            </w:rPr>
            <w:drawing>
              <wp:inline distT="0" distB="0" distL="0" distR="0" wp14:anchorId="2FC862DA" wp14:editId="3585099B">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rsidR="00122639" w:rsidRPr="00CE6280" w:rsidRDefault="00122639" w:rsidP="00631113">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61B7"/>
    <w:multiLevelType w:val="multilevel"/>
    <w:tmpl w:val="8CA626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CC50A64"/>
    <w:multiLevelType w:val="hybridMultilevel"/>
    <w:tmpl w:val="32066DF8"/>
    <w:lvl w:ilvl="0" w:tplc="D24A1850">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FE5B51"/>
    <w:multiLevelType w:val="multilevel"/>
    <w:tmpl w:val="0E02E516"/>
    <w:lvl w:ilvl="0">
      <w:start w:val="3"/>
      <w:numFmt w:val="decimal"/>
      <w:lvlText w:val="%1"/>
      <w:lvlJc w:val="left"/>
      <w:pPr>
        <w:ind w:left="400" w:hanging="400"/>
      </w:pPr>
      <w:rPr>
        <w:rFonts w:hint="default"/>
      </w:rPr>
    </w:lvl>
    <w:lvl w:ilvl="1">
      <w:start w:val="2"/>
      <w:numFmt w:val="decimal"/>
      <w:lvlText w:val="%1.%2"/>
      <w:lvlJc w:val="left"/>
      <w:pPr>
        <w:ind w:left="1747" w:hanging="400"/>
      </w:pPr>
      <w:rPr>
        <w:rFonts w:hint="default"/>
      </w:rPr>
    </w:lvl>
    <w:lvl w:ilvl="2">
      <w:start w:val="2"/>
      <w:numFmt w:val="decimal"/>
      <w:lvlText w:val="%1.%2.%3"/>
      <w:lvlJc w:val="left"/>
      <w:pPr>
        <w:ind w:left="3414" w:hanging="720"/>
      </w:pPr>
      <w:rPr>
        <w:rFonts w:hint="default"/>
      </w:rPr>
    </w:lvl>
    <w:lvl w:ilvl="3">
      <w:start w:val="1"/>
      <w:numFmt w:val="decimal"/>
      <w:lvlText w:val="%1.%2.%3.%4"/>
      <w:lvlJc w:val="left"/>
      <w:pPr>
        <w:ind w:left="4761" w:hanging="720"/>
      </w:pPr>
      <w:rPr>
        <w:rFonts w:hint="default"/>
      </w:rPr>
    </w:lvl>
    <w:lvl w:ilvl="4">
      <w:start w:val="1"/>
      <w:numFmt w:val="decimal"/>
      <w:lvlText w:val="%1.%2.%3.%4.%5"/>
      <w:lvlJc w:val="left"/>
      <w:pPr>
        <w:ind w:left="6108" w:hanging="720"/>
      </w:pPr>
      <w:rPr>
        <w:rFonts w:hint="default"/>
      </w:rPr>
    </w:lvl>
    <w:lvl w:ilvl="5">
      <w:start w:val="1"/>
      <w:numFmt w:val="decimal"/>
      <w:lvlText w:val="%1.%2.%3.%4.%5.%6"/>
      <w:lvlJc w:val="left"/>
      <w:pPr>
        <w:ind w:left="7815" w:hanging="1080"/>
      </w:pPr>
      <w:rPr>
        <w:rFonts w:hint="default"/>
      </w:rPr>
    </w:lvl>
    <w:lvl w:ilvl="6">
      <w:start w:val="1"/>
      <w:numFmt w:val="decimal"/>
      <w:lvlText w:val="%1.%2.%3.%4.%5.%6.%7"/>
      <w:lvlJc w:val="left"/>
      <w:pPr>
        <w:ind w:left="9162" w:hanging="1080"/>
      </w:pPr>
      <w:rPr>
        <w:rFonts w:hint="default"/>
      </w:rPr>
    </w:lvl>
    <w:lvl w:ilvl="7">
      <w:start w:val="1"/>
      <w:numFmt w:val="decimal"/>
      <w:lvlText w:val="%1.%2.%3.%4.%5.%6.%7.%8"/>
      <w:lvlJc w:val="left"/>
      <w:pPr>
        <w:ind w:left="10869" w:hanging="1440"/>
      </w:pPr>
      <w:rPr>
        <w:rFonts w:hint="default"/>
      </w:rPr>
    </w:lvl>
    <w:lvl w:ilvl="8">
      <w:start w:val="1"/>
      <w:numFmt w:val="decimal"/>
      <w:lvlText w:val="%1.%2.%3.%4.%5.%6.%7.%8.%9"/>
      <w:lvlJc w:val="left"/>
      <w:pPr>
        <w:ind w:left="12216" w:hanging="1440"/>
      </w:pPr>
      <w:rPr>
        <w:rFonts w:hint="default"/>
      </w:rPr>
    </w:lvl>
  </w:abstractNum>
  <w:abstractNum w:abstractNumId="3">
    <w:nsid w:val="18B468F5"/>
    <w:multiLevelType w:val="hybridMultilevel"/>
    <w:tmpl w:val="1BFCE6D6"/>
    <w:lvl w:ilvl="0" w:tplc="15222FB2">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5">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7">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9">
    <w:nsid w:val="390779A5"/>
    <w:multiLevelType w:val="hybridMultilevel"/>
    <w:tmpl w:val="E9E48F42"/>
    <w:lvl w:ilvl="0" w:tplc="481E2D44">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0">
    <w:nsid w:val="3C315299"/>
    <w:multiLevelType w:val="hybridMultilevel"/>
    <w:tmpl w:val="3A785866"/>
    <w:lvl w:ilvl="0" w:tplc="B1209E52">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3">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8"/>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12"/>
  </w:num>
  <w:num w:numId="7">
    <w:abstractNumId w:val="4"/>
  </w:num>
  <w:num w:numId="8">
    <w:abstractNumId w:val="12"/>
  </w:num>
  <w:num w:numId="9">
    <w:abstractNumId w:val="4"/>
  </w:num>
  <w:num w:numId="10">
    <w:abstractNumId w:val="12"/>
  </w:num>
  <w:num w:numId="11">
    <w:abstractNumId w:val="4"/>
  </w:num>
  <w:num w:numId="12">
    <w:abstractNumId w:val="13"/>
  </w:num>
  <w:num w:numId="13">
    <w:abstractNumId w:val="12"/>
  </w:num>
  <w:num w:numId="14">
    <w:abstractNumId w:val="4"/>
  </w:num>
  <w:num w:numId="15">
    <w:abstractNumId w:val="3"/>
  </w:num>
  <w:num w:numId="16">
    <w:abstractNumId w:val="11"/>
  </w:num>
  <w:num w:numId="17">
    <w:abstractNumId w:val="1"/>
  </w:num>
  <w:num w:numId="18">
    <w:abstractNumId w:val="12"/>
  </w:num>
  <w:num w:numId="19">
    <w:abstractNumId w:val="4"/>
  </w:num>
  <w:num w:numId="20">
    <w:abstractNumId w:val="3"/>
  </w:num>
  <w:num w:numId="21">
    <w:abstractNumId w:val="10"/>
  </w:num>
  <w:num w:numId="22">
    <w:abstractNumId w:val="9"/>
  </w:num>
  <w:num w:numId="23">
    <w:abstractNumId w:val="1"/>
  </w:num>
  <w:num w:numId="24">
    <w:abstractNumId w:val="0"/>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9FE"/>
    <w:rsid w:val="00004714"/>
    <w:rsid w:val="000064EB"/>
    <w:rsid w:val="00050DA2"/>
    <w:rsid w:val="00055DD6"/>
    <w:rsid w:val="000A0A58"/>
    <w:rsid w:val="000B4995"/>
    <w:rsid w:val="000C49F9"/>
    <w:rsid w:val="00101C59"/>
    <w:rsid w:val="001106BD"/>
    <w:rsid w:val="00122639"/>
    <w:rsid w:val="00127C3A"/>
    <w:rsid w:val="0014026C"/>
    <w:rsid w:val="001517F3"/>
    <w:rsid w:val="00152918"/>
    <w:rsid w:val="0016413B"/>
    <w:rsid w:val="00164D2F"/>
    <w:rsid w:val="00165311"/>
    <w:rsid w:val="00167419"/>
    <w:rsid w:val="0017623A"/>
    <w:rsid w:val="00196430"/>
    <w:rsid w:val="001A7DD8"/>
    <w:rsid w:val="001E2AEB"/>
    <w:rsid w:val="00210254"/>
    <w:rsid w:val="00214B76"/>
    <w:rsid w:val="00215EFF"/>
    <w:rsid w:val="00216ABA"/>
    <w:rsid w:val="0022118C"/>
    <w:rsid w:val="00224462"/>
    <w:rsid w:val="00225E65"/>
    <w:rsid w:val="002409FE"/>
    <w:rsid w:val="00243C69"/>
    <w:rsid w:val="00263336"/>
    <w:rsid w:val="00275F00"/>
    <w:rsid w:val="00277D3C"/>
    <w:rsid w:val="00295809"/>
    <w:rsid w:val="002A6C17"/>
    <w:rsid w:val="002B2F40"/>
    <w:rsid w:val="002C1F91"/>
    <w:rsid w:val="002E5DB2"/>
    <w:rsid w:val="002E7CC5"/>
    <w:rsid w:val="00310D37"/>
    <w:rsid w:val="00312D36"/>
    <w:rsid w:val="003152D7"/>
    <w:rsid w:val="00326141"/>
    <w:rsid w:val="00340C64"/>
    <w:rsid w:val="0037736E"/>
    <w:rsid w:val="00385979"/>
    <w:rsid w:val="00392197"/>
    <w:rsid w:val="003A3F06"/>
    <w:rsid w:val="003D1BF7"/>
    <w:rsid w:val="00401D30"/>
    <w:rsid w:val="004117EC"/>
    <w:rsid w:val="00412358"/>
    <w:rsid w:val="00417E46"/>
    <w:rsid w:val="00443E8D"/>
    <w:rsid w:val="004662D7"/>
    <w:rsid w:val="00493A32"/>
    <w:rsid w:val="004A2E59"/>
    <w:rsid w:val="005000EF"/>
    <w:rsid w:val="00514F01"/>
    <w:rsid w:val="00557FB4"/>
    <w:rsid w:val="00567B5A"/>
    <w:rsid w:val="00573601"/>
    <w:rsid w:val="00591958"/>
    <w:rsid w:val="00592B7B"/>
    <w:rsid w:val="005A72D3"/>
    <w:rsid w:val="005D0BE1"/>
    <w:rsid w:val="005D4DA4"/>
    <w:rsid w:val="005F17B6"/>
    <w:rsid w:val="005F1D2E"/>
    <w:rsid w:val="005F7C9B"/>
    <w:rsid w:val="00631113"/>
    <w:rsid w:val="00644B35"/>
    <w:rsid w:val="006635D6"/>
    <w:rsid w:val="00676343"/>
    <w:rsid w:val="00685B7E"/>
    <w:rsid w:val="00692393"/>
    <w:rsid w:val="006A0C77"/>
    <w:rsid w:val="006A30C6"/>
    <w:rsid w:val="006B2E91"/>
    <w:rsid w:val="006B7656"/>
    <w:rsid w:val="006C5B33"/>
    <w:rsid w:val="006D07DD"/>
    <w:rsid w:val="006F34E2"/>
    <w:rsid w:val="007174BB"/>
    <w:rsid w:val="0071776F"/>
    <w:rsid w:val="00725BE5"/>
    <w:rsid w:val="00744FC1"/>
    <w:rsid w:val="007461D2"/>
    <w:rsid w:val="0076170A"/>
    <w:rsid w:val="00765BAF"/>
    <w:rsid w:val="00771CCF"/>
    <w:rsid w:val="007B5370"/>
    <w:rsid w:val="007D1990"/>
    <w:rsid w:val="007F0526"/>
    <w:rsid w:val="007F3183"/>
    <w:rsid w:val="00822934"/>
    <w:rsid w:val="0082460C"/>
    <w:rsid w:val="00833098"/>
    <w:rsid w:val="00866085"/>
    <w:rsid w:val="00866980"/>
    <w:rsid w:val="0089151D"/>
    <w:rsid w:val="0089278D"/>
    <w:rsid w:val="00895F9C"/>
    <w:rsid w:val="008C16C9"/>
    <w:rsid w:val="008D1B74"/>
    <w:rsid w:val="008E0EE6"/>
    <w:rsid w:val="008E2966"/>
    <w:rsid w:val="00903DEC"/>
    <w:rsid w:val="009040ED"/>
    <w:rsid w:val="00926DAC"/>
    <w:rsid w:val="00947276"/>
    <w:rsid w:val="0095566D"/>
    <w:rsid w:val="00955C49"/>
    <w:rsid w:val="0096313D"/>
    <w:rsid w:val="00972A64"/>
    <w:rsid w:val="00973A7B"/>
    <w:rsid w:val="00974722"/>
    <w:rsid w:val="00984471"/>
    <w:rsid w:val="009D277A"/>
    <w:rsid w:val="009E7862"/>
    <w:rsid w:val="009F48E0"/>
    <w:rsid w:val="009F70E6"/>
    <w:rsid w:val="00A03AB7"/>
    <w:rsid w:val="00A17A42"/>
    <w:rsid w:val="00A2171D"/>
    <w:rsid w:val="00A362AD"/>
    <w:rsid w:val="00A433B8"/>
    <w:rsid w:val="00A5477D"/>
    <w:rsid w:val="00A6745F"/>
    <w:rsid w:val="00A73EE2"/>
    <w:rsid w:val="00A959B2"/>
    <w:rsid w:val="00AA7C53"/>
    <w:rsid w:val="00AB28CA"/>
    <w:rsid w:val="00AB4F08"/>
    <w:rsid w:val="00AC091C"/>
    <w:rsid w:val="00AD061B"/>
    <w:rsid w:val="00AE2FF2"/>
    <w:rsid w:val="00B015C0"/>
    <w:rsid w:val="00B04390"/>
    <w:rsid w:val="00B10399"/>
    <w:rsid w:val="00B12E4D"/>
    <w:rsid w:val="00B4734D"/>
    <w:rsid w:val="00B5315D"/>
    <w:rsid w:val="00B61078"/>
    <w:rsid w:val="00B72B22"/>
    <w:rsid w:val="00B96B70"/>
    <w:rsid w:val="00BF0A3D"/>
    <w:rsid w:val="00C11140"/>
    <w:rsid w:val="00C323C6"/>
    <w:rsid w:val="00C41D4C"/>
    <w:rsid w:val="00C67EBF"/>
    <w:rsid w:val="00C74D4C"/>
    <w:rsid w:val="00C94B18"/>
    <w:rsid w:val="00CA6261"/>
    <w:rsid w:val="00CB2A28"/>
    <w:rsid w:val="00CB3A92"/>
    <w:rsid w:val="00CE6280"/>
    <w:rsid w:val="00D15629"/>
    <w:rsid w:val="00D17CD6"/>
    <w:rsid w:val="00D32AA9"/>
    <w:rsid w:val="00D4505E"/>
    <w:rsid w:val="00D4547A"/>
    <w:rsid w:val="00D57B4F"/>
    <w:rsid w:val="00D64854"/>
    <w:rsid w:val="00D81333"/>
    <w:rsid w:val="00D94009"/>
    <w:rsid w:val="00DA0812"/>
    <w:rsid w:val="00DA20BE"/>
    <w:rsid w:val="00DB54E2"/>
    <w:rsid w:val="00DC6191"/>
    <w:rsid w:val="00DE4A86"/>
    <w:rsid w:val="00DE6792"/>
    <w:rsid w:val="00DF5640"/>
    <w:rsid w:val="00E11963"/>
    <w:rsid w:val="00E609D8"/>
    <w:rsid w:val="00E62D80"/>
    <w:rsid w:val="00E92E23"/>
    <w:rsid w:val="00E930DA"/>
    <w:rsid w:val="00E93B34"/>
    <w:rsid w:val="00EA2D62"/>
    <w:rsid w:val="00EA4C03"/>
    <w:rsid w:val="00EB0321"/>
    <w:rsid w:val="00EC36E5"/>
    <w:rsid w:val="00EC7897"/>
    <w:rsid w:val="00EE1753"/>
    <w:rsid w:val="00EE3830"/>
    <w:rsid w:val="00EF60C1"/>
    <w:rsid w:val="00F27FF0"/>
    <w:rsid w:val="00F433B0"/>
    <w:rsid w:val="00F47C4E"/>
    <w:rsid w:val="00F5007F"/>
    <w:rsid w:val="00F62D18"/>
    <w:rsid w:val="00F6784E"/>
    <w:rsid w:val="00F70661"/>
    <w:rsid w:val="00F80D6E"/>
    <w:rsid w:val="00F84AA6"/>
    <w:rsid w:val="00F86E8D"/>
    <w:rsid w:val="00F878C9"/>
    <w:rsid w:val="00F94282"/>
    <w:rsid w:val="00FA7323"/>
    <w:rsid w:val="00FB15C6"/>
    <w:rsid w:val="00FD2812"/>
    <w:rsid w:val="00FF0B23"/>
    <w:rsid w:val="00FF491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73EE2"/>
    <w:pPr>
      <w:spacing w:line="260" w:lineRule="atLeast"/>
      <w:jc w:val="both"/>
    </w:pPr>
    <w:rPr>
      <w:rFonts w:ascii="Palatino Linotype" w:hAnsi="Palatino Linotype"/>
      <w:noProof/>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A73EE2"/>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A73EE2"/>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A73EE2"/>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A73EE2"/>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A73EE2"/>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A73EE2"/>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e"/>
    <w:qFormat/>
    <w:rsid w:val="00A73EE2"/>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A73EE2"/>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ellanormale"/>
    <w:uiPriority w:val="99"/>
    <w:rsid w:val="00196430"/>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A73EE2"/>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A73EE2"/>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A73EE2"/>
    <w:rPr>
      <w:rFonts w:ascii="Palatino Linotype" w:hAnsi="Palatino Linotype"/>
      <w:noProof/>
      <w:color w:val="000000"/>
      <w:szCs w:val="18"/>
    </w:rPr>
  </w:style>
  <w:style w:type="paragraph" w:styleId="Intestazione">
    <w:name w:val="header"/>
    <w:basedOn w:val="Normale"/>
    <w:link w:val="IntestazioneCarattere"/>
    <w:uiPriority w:val="99"/>
    <w:rsid w:val="00A73EE2"/>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A73EE2"/>
    <w:rPr>
      <w:rFonts w:ascii="Palatino Linotype" w:hAnsi="Palatino Linotype"/>
      <w:noProof/>
      <w:color w:val="000000"/>
      <w:szCs w:val="18"/>
    </w:rPr>
  </w:style>
  <w:style w:type="paragraph" w:customStyle="1" w:styleId="MDPIheaderjournallogo">
    <w:name w:val="MDPI_header_journal_logo"/>
    <w:qFormat/>
    <w:rsid w:val="00A73EE2"/>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A73EE2"/>
    <w:pPr>
      <w:ind w:firstLine="0"/>
    </w:pPr>
  </w:style>
  <w:style w:type="paragraph" w:customStyle="1" w:styleId="MDPI31text">
    <w:name w:val="MDPI_3.1_text"/>
    <w:qFormat/>
    <w:rsid w:val="00412358"/>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A73EE2"/>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A73EE2"/>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A73EE2"/>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A73EE2"/>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AA7C53"/>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AA7C53"/>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A73EE2"/>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A73EE2"/>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A73EE2"/>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B96B70"/>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A73EE2"/>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A73EE2"/>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A73EE2"/>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A73EE2"/>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A73EE2"/>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A73EE2"/>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A73EE2"/>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A73EE2"/>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926DAC"/>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A73EE2"/>
    <w:rPr>
      <w:rFonts w:cs="Tahoma"/>
      <w:szCs w:val="18"/>
    </w:rPr>
  </w:style>
  <w:style w:type="character" w:customStyle="1" w:styleId="TestofumettoCarattere">
    <w:name w:val="Testo fumetto Carattere"/>
    <w:link w:val="Testofumetto"/>
    <w:uiPriority w:val="99"/>
    <w:rsid w:val="00A73EE2"/>
    <w:rPr>
      <w:rFonts w:ascii="Palatino Linotype" w:hAnsi="Palatino Linotype" w:cs="Tahoma"/>
      <w:noProof/>
      <w:color w:val="000000"/>
      <w:szCs w:val="18"/>
    </w:rPr>
  </w:style>
  <w:style w:type="character" w:styleId="Numeroriga">
    <w:name w:val="line number"/>
    <w:uiPriority w:val="99"/>
    <w:rsid w:val="0016413B"/>
    <w:rPr>
      <w:rFonts w:ascii="Palatino Linotype" w:hAnsi="Palatino Linotype"/>
      <w:sz w:val="16"/>
    </w:rPr>
  </w:style>
  <w:style w:type="table" w:customStyle="1" w:styleId="MDPI41threelinetable">
    <w:name w:val="MDPI_4.1_three_line_table"/>
    <w:basedOn w:val="Tabellanormale"/>
    <w:uiPriority w:val="99"/>
    <w:rsid w:val="00A73EE2"/>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A73EE2"/>
    <w:rPr>
      <w:color w:val="0000FF"/>
      <w:u w:val="single"/>
    </w:rPr>
  </w:style>
  <w:style w:type="character" w:customStyle="1" w:styleId="UnresolvedMention">
    <w:name w:val="Unresolved Mention"/>
    <w:uiPriority w:val="99"/>
    <w:semiHidden/>
    <w:unhideWhenUsed/>
    <w:rsid w:val="006C5B33"/>
    <w:rPr>
      <w:color w:val="605E5C"/>
      <w:shd w:val="clear" w:color="auto" w:fill="E1DFDD"/>
    </w:rPr>
  </w:style>
  <w:style w:type="table" w:customStyle="1" w:styleId="PlainTable4">
    <w:name w:val="Plain Table 4"/>
    <w:basedOn w:val="Tabellanormale"/>
    <w:uiPriority w:val="44"/>
    <w:rsid w:val="006A0C7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A73EE2"/>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A73EE2"/>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A73EE2"/>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7174BB"/>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A73EE2"/>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A73EE2"/>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A73EE2"/>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A73EE2"/>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A73EE2"/>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A73EE2"/>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A73EE2"/>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A73EE2"/>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A73EE2"/>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A73EE2"/>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A73EE2"/>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ellanormale"/>
    <w:uiPriority w:val="99"/>
    <w:rsid w:val="00A73EE2"/>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A73EE2"/>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A73EE2"/>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A73EE2"/>
  </w:style>
  <w:style w:type="paragraph" w:styleId="Bibliografia">
    <w:name w:val="Bibliography"/>
    <w:basedOn w:val="Normale"/>
    <w:next w:val="Normale"/>
    <w:uiPriority w:val="37"/>
    <w:semiHidden/>
    <w:unhideWhenUsed/>
    <w:rsid w:val="00A73EE2"/>
  </w:style>
  <w:style w:type="paragraph" w:styleId="Corpotesto">
    <w:name w:val="Body Text"/>
    <w:link w:val="CorpotestoCarattere"/>
    <w:rsid w:val="00A73EE2"/>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A73EE2"/>
    <w:rPr>
      <w:rFonts w:ascii="Palatino Linotype" w:hAnsi="Palatino Linotype"/>
      <w:color w:val="000000"/>
      <w:sz w:val="24"/>
      <w:lang w:eastAsia="de-DE"/>
    </w:rPr>
  </w:style>
  <w:style w:type="character" w:styleId="Rimandocommento">
    <w:name w:val="annotation reference"/>
    <w:rsid w:val="00A73EE2"/>
    <w:rPr>
      <w:sz w:val="21"/>
      <w:szCs w:val="21"/>
    </w:rPr>
  </w:style>
  <w:style w:type="paragraph" w:styleId="Testocommento">
    <w:name w:val="annotation text"/>
    <w:basedOn w:val="Normale"/>
    <w:link w:val="TestocommentoCarattere"/>
    <w:rsid w:val="00A73EE2"/>
  </w:style>
  <w:style w:type="character" w:customStyle="1" w:styleId="TestocommentoCarattere">
    <w:name w:val="Testo commento Carattere"/>
    <w:link w:val="Testocommento"/>
    <w:rsid w:val="00A73EE2"/>
    <w:rPr>
      <w:rFonts w:ascii="Palatino Linotype" w:hAnsi="Palatino Linotype"/>
      <w:noProof/>
      <w:color w:val="000000"/>
    </w:rPr>
  </w:style>
  <w:style w:type="paragraph" w:styleId="Soggettocommento">
    <w:name w:val="annotation subject"/>
    <w:basedOn w:val="Testocommento"/>
    <w:next w:val="Testocommento"/>
    <w:link w:val="SoggettocommentoCarattere"/>
    <w:rsid w:val="00A73EE2"/>
    <w:rPr>
      <w:b/>
      <w:bCs/>
    </w:rPr>
  </w:style>
  <w:style w:type="character" w:customStyle="1" w:styleId="SoggettocommentoCarattere">
    <w:name w:val="Soggetto commento Carattere"/>
    <w:link w:val="Soggettocommento"/>
    <w:rsid w:val="00A73EE2"/>
    <w:rPr>
      <w:rFonts w:ascii="Palatino Linotype" w:hAnsi="Palatino Linotype"/>
      <w:b/>
      <w:bCs/>
      <w:noProof/>
      <w:color w:val="000000"/>
    </w:rPr>
  </w:style>
  <w:style w:type="character" w:styleId="Rimandonotadichiusura">
    <w:name w:val="endnote reference"/>
    <w:rsid w:val="00A73EE2"/>
    <w:rPr>
      <w:vertAlign w:val="superscript"/>
    </w:rPr>
  </w:style>
  <w:style w:type="paragraph" w:styleId="Testonotadichiusura">
    <w:name w:val="endnote text"/>
    <w:basedOn w:val="Normale"/>
    <w:link w:val="TestonotadichiusuraCarattere"/>
    <w:semiHidden/>
    <w:unhideWhenUsed/>
    <w:rsid w:val="00A73EE2"/>
    <w:pPr>
      <w:spacing w:line="240" w:lineRule="auto"/>
    </w:pPr>
  </w:style>
  <w:style w:type="character" w:customStyle="1" w:styleId="TestonotadichiusuraCarattere">
    <w:name w:val="Testo nota di chiusura Carattere"/>
    <w:link w:val="Testonotadichiusura"/>
    <w:semiHidden/>
    <w:rsid w:val="00A73EE2"/>
    <w:rPr>
      <w:rFonts w:ascii="Palatino Linotype" w:hAnsi="Palatino Linotype"/>
      <w:noProof/>
      <w:color w:val="000000"/>
    </w:rPr>
  </w:style>
  <w:style w:type="character" w:styleId="Collegamentovisitato">
    <w:name w:val="FollowedHyperlink"/>
    <w:rsid w:val="00A73EE2"/>
    <w:rPr>
      <w:color w:val="954F72"/>
      <w:u w:val="single"/>
    </w:rPr>
  </w:style>
  <w:style w:type="paragraph" w:styleId="Testonotaapidipagina">
    <w:name w:val="footnote text"/>
    <w:basedOn w:val="Normale"/>
    <w:link w:val="TestonotaapidipaginaCarattere"/>
    <w:semiHidden/>
    <w:unhideWhenUsed/>
    <w:rsid w:val="00A73EE2"/>
    <w:pPr>
      <w:spacing w:line="240" w:lineRule="auto"/>
    </w:pPr>
  </w:style>
  <w:style w:type="character" w:customStyle="1" w:styleId="TestonotaapidipaginaCarattere">
    <w:name w:val="Testo nota a piè di pagina Carattere"/>
    <w:link w:val="Testonotaapidipagina"/>
    <w:semiHidden/>
    <w:rsid w:val="00A73EE2"/>
    <w:rPr>
      <w:rFonts w:ascii="Palatino Linotype" w:hAnsi="Palatino Linotype"/>
      <w:noProof/>
      <w:color w:val="000000"/>
    </w:rPr>
  </w:style>
  <w:style w:type="paragraph" w:styleId="NormaleWeb">
    <w:name w:val="Normal (Web)"/>
    <w:basedOn w:val="Normale"/>
    <w:uiPriority w:val="99"/>
    <w:rsid w:val="00A73EE2"/>
    <w:rPr>
      <w:szCs w:val="24"/>
    </w:rPr>
  </w:style>
  <w:style w:type="paragraph" w:customStyle="1" w:styleId="MsoFootnoteText0">
    <w:name w:val="MsoFootnoteText"/>
    <w:basedOn w:val="NormaleWeb"/>
    <w:qFormat/>
    <w:rsid w:val="00A73EE2"/>
    <w:rPr>
      <w:rFonts w:ascii="Times New Roman" w:hAnsi="Times New Roman"/>
    </w:rPr>
  </w:style>
  <w:style w:type="character" w:styleId="Numeropagina">
    <w:name w:val="page number"/>
    <w:rsid w:val="00A73EE2"/>
  </w:style>
  <w:style w:type="character" w:styleId="Testosegnaposto">
    <w:name w:val="Placeholder Text"/>
    <w:uiPriority w:val="99"/>
    <w:semiHidden/>
    <w:rsid w:val="00A73EE2"/>
    <w:rPr>
      <w:color w:val="808080"/>
    </w:rPr>
  </w:style>
  <w:style w:type="paragraph" w:customStyle="1" w:styleId="MDPI71FootNotes">
    <w:name w:val="MDPI_7.1_FootNotes"/>
    <w:qFormat/>
    <w:rsid w:val="0071776F"/>
    <w:pPr>
      <w:numPr>
        <w:numId w:val="21"/>
      </w:numPr>
      <w:adjustRightInd w:val="0"/>
      <w:snapToGrid w:val="0"/>
      <w:spacing w:line="228" w:lineRule="auto"/>
    </w:pPr>
    <w:rPr>
      <w:rFonts w:ascii="Palatino Linotype" w:eastAsiaTheme="minorEastAsia" w:hAnsi="Palatino Linotype"/>
      <w:noProof/>
      <w:color w:val="000000"/>
      <w:sz w:val="18"/>
    </w:rPr>
  </w:style>
  <w:style w:type="paragraph" w:customStyle="1" w:styleId="TAMainText">
    <w:name w:val="TA_Main_Text"/>
    <w:basedOn w:val="Normale"/>
    <w:rsid w:val="0089278D"/>
    <w:pPr>
      <w:spacing w:line="480" w:lineRule="auto"/>
      <w:ind w:firstLine="202"/>
    </w:pPr>
    <w:rPr>
      <w:rFonts w:ascii="Times" w:eastAsia="Times New Roman" w:hAnsi="Times"/>
      <w:noProof w:val="0"/>
      <w:color w:val="auto"/>
      <w:sz w:val="24"/>
      <w:lang w:eastAsia="en-US"/>
    </w:rPr>
  </w:style>
  <w:style w:type="paragraph" w:customStyle="1" w:styleId="Default">
    <w:name w:val="Default"/>
    <w:rsid w:val="00B5315D"/>
    <w:pPr>
      <w:autoSpaceDE w:val="0"/>
      <w:autoSpaceDN w:val="0"/>
      <w:adjustRightInd w:val="0"/>
    </w:pPr>
    <w:rPr>
      <w:rFonts w:ascii="Symbol" w:eastAsia="Times New Roman" w:hAnsi="Symbol" w:cs="Symbol"/>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73EE2"/>
    <w:pPr>
      <w:spacing w:line="260" w:lineRule="atLeast"/>
      <w:jc w:val="both"/>
    </w:pPr>
    <w:rPr>
      <w:rFonts w:ascii="Palatino Linotype" w:hAnsi="Palatino Linotype"/>
      <w:noProof/>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A73EE2"/>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A73EE2"/>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A73EE2"/>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A73EE2"/>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A73EE2"/>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A73EE2"/>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e"/>
    <w:qFormat/>
    <w:rsid w:val="00A73EE2"/>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A73EE2"/>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ellanormale"/>
    <w:uiPriority w:val="99"/>
    <w:rsid w:val="00196430"/>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A73EE2"/>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A73EE2"/>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A73EE2"/>
    <w:rPr>
      <w:rFonts w:ascii="Palatino Linotype" w:hAnsi="Palatino Linotype"/>
      <w:noProof/>
      <w:color w:val="000000"/>
      <w:szCs w:val="18"/>
    </w:rPr>
  </w:style>
  <w:style w:type="paragraph" w:styleId="Intestazione">
    <w:name w:val="header"/>
    <w:basedOn w:val="Normale"/>
    <w:link w:val="IntestazioneCarattere"/>
    <w:uiPriority w:val="99"/>
    <w:rsid w:val="00A73EE2"/>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A73EE2"/>
    <w:rPr>
      <w:rFonts w:ascii="Palatino Linotype" w:hAnsi="Palatino Linotype"/>
      <w:noProof/>
      <w:color w:val="000000"/>
      <w:szCs w:val="18"/>
    </w:rPr>
  </w:style>
  <w:style w:type="paragraph" w:customStyle="1" w:styleId="MDPIheaderjournallogo">
    <w:name w:val="MDPI_header_journal_logo"/>
    <w:qFormat/>
    <w:rsid w:val="00A73EE2"/>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A73EE2"/>
    <w:pPr>
      <w:ind w:firstLine="0"/>
    </w:pPr>
  </w:style>
  <w:style w:type="paragraph" w:customStyle="1" w:styleId="MDPI31text">
    <w:name w:val="MDPI_3.1_text"/>
    <w:qFormat/>
    <w:rsid w:val="00412358"/>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A73EE2"/>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A73EE2"/>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A73EE2"/>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A73EE2"/>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AA7C53"/>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AA7C53"/>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A73EE2"/>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A73EE2"/>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A73EE2"/>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B96B70"/>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A73EE2"/>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A73EE2"/>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A73EE2"/>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A73EE2"/>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A73EE2"/>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A73EE2"/>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A73EE2"/>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A73EE2"/>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926DAC"/>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A73EE2"/>
    <w:rPr>
      <w:rFonts w:cs="Tahoma"/>
      <w:szCs w:val="18"/>
    </w:rPr>
  </w:style>
  <w:style w:type="character" w:customStyle="1" w:styleId="TestofumettoCarattere">
    <w:name w:val="Testo fumetto Carattere"/>
    <w:link w:val="Testofumetto"/>
    <w:uiPriority w:val="99"/>
    <w:rsid w:val="00A73EE2"/>
    <w:rPr>
      <w:rFonts w:ascii="Palatino Linotype" w:hAnsi="Palatino Linotype" w:cs="Tahoma"/>
      <w:noProof/>
      <w:color w:val="000000"/>
      <w:szCs w:val="18"/>
    </w:rPr>
  </w:style>
  <w:style w:type="character" w:styleId="Numeroriga">
    <w:name w:val="line number"/>
    <w:uiPriority w:val="99"/>
    <w:rsid w:val="0016413B"/>
    <w:rPr>
      <w:rFonts w:ascii="Palatino Linotype" w:hAnsi="Palatino Linotype"/>
      <w:sz w:val="16"/>
    </w:rPr>
  </w:style>
  <w:style w:type="table" w:customStyle="1" w:styleId="MDPI41threelinetable">
    <w:name w:val="MDPI_4.1_three_line_table"/>
    <w:basedOn w:val="Tabellanormale"/>
    <w:uiPriority w:val="99"/>
    <w:rsid w:val="00A73EE2"/>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A73EE2"/>
    <w:rPr>
      <w:color w:val="0000FF"/>
      <w:u w:val="single"/>
    </w:rPr>
  </w:style>
  <w:style w:type="character" w:customStyle="1" w:styleId="UnresolvedMention">
    <w:name w:val="Unresolved Mention"/>
    <w:uiPriority w:val="99"/>
    <w:semiHidden/>
    <w:unhideWhenUsed/>
    <w:rsid w:val="006C5B33"/>
    <w:rPr>
      <w:color w:val="605E5C"/>
      <w:shd w:val="clear" w:color="auto" w:fill="E1DFDD"/>
    </w:rPr>
  </w:style>
  <w:style w:type="table" w:customStyle="1" w:styleId="PlainTable4">
    <w:name w:val="Plain Table 4"/>
    <w:basedOn w:val="Tabellanormale"/>
    <w:uiPriority w:val="44"/>
    <w:rsid w:val="006A0C7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A73EE2"/>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A73EE2"/>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A73EE2"/>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7174BB"/>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A73EE2"/>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A73EE2"/>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A73EE2"/>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A73EE2"/>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A73EE2"/>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A73EE2"/>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A73EE2"/>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A73EE2"/>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A73EE2"/>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A73EE2"/>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A73EE2"/>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ellanormale"/>
    <w:uiPriority w:val="99"/>
    <w:rsid w:val="00A73EE2"/>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A73EE2"/>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A73EE2"/>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A73EE2"/>
  </w:style>
  <w:style w:type="paragraph" w:styleId="Bibliografia">
    <w:name w:val="Bibliography"/>
    <w:basedOn w:val="Normale"/>
    <w:next w:val="Normale"/>
    <w:uiPriority w:val="37"/>
    <w:semiHidden/>
    <w:unhideWhenUsed/>
    <w:rsid w:val="00A73EE2"/>
  </w:style>
  <w:style w:type="paragraph" w:styleId="Corpotesto">
    <w:name w:val="Body Text"/>
    <w:link w:val="CorpotestoCarattere"/>
    <w:rsid w:val="00A73EE2"/>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A73EE2"/>
    <w:rPr>
      <w:rFonts w:ascii="Palatino Linotype" w:hAnsi="Palatino Linotype"/>
      <w:color w:val="000000"/>
      <w:sz w:val="24"/>
      <w:lang w:eastAsia="de-DE"/>
    </w:rPr>
  </w:style>
  <w:style w:type="character" w:styleId="Rimandocommento">
    <w:name w:val="annotation reference"/>
    <w:rsid w:val="00A73EE2"/>
    <w:rPr>
      <w:sz w:val="21"/>
      <w:szCs w:val="21"/>
    </w:rPr>
  </w:style>
  <w:style w:type="paragraph" w:styleId="Testocommento">
    <w:name w:val="annotation text"/>
    <w:basedOn w:val="Normale"/>
    <w:link w:val="TestocommentoCarattere"/>
    <w:rsid w:val="00A73EE2"/>
  </w:style>
  <w:style w:type="character" w:customStyle="1" w:styleId="TestocommentoCarattere">
    <w:name w:val="Testo commento Carattere"/>
    <w:link w:val="Testocommento"/>
    <w:rsid w:val="00A73EE2"/>
    <w:rPr>
      <w:rFonts w:ascii="Palatino Linotype" w:hAnsi="Palatino Linotype"/>
      <w:noProof/>
      <w:color w:val="000000"/>
    </w:rPr>
  </w:style>
  <w:style w:type="paragraph" w:styleId="Soggettocommento">
    <w:name w:val="annotation subject"/>
    <w:basedOn w:val="Testocommento"/>
    <w:next w:val="Testocommento"/>
    <w:link w:val="SoggettocommentoCarattere"/>
    <w:rsid w:val="00A73EE2"/>
    <w:rPr>
      <w:b/>
      <w:bCs/>
    </w:rPr>
  </w:style>
  <w:style w:type="character" w:customStyle="1" w:styleId="SoggettocommentoCarattere">
    <w:name w:val="Soggetto commento Carattere"/>
    <w:link w:val="Soggettocommento"/>
    <w:rsid w:val="00A73EE2"/>
    <w:rPr>
      <w:rFonts w:ascii="Palatino Linotype" w:hAnsi="Palatino Linotype"/>
      <w:b/>
      <w:bCs/>
      <w:noProof/>
      <w:color w:val="000000"/>
    </w:rPr>
  </w:style>
  <w:style w:type="character" w:styleId="Rimandonotadichiusura">
    <w:name w:val="endnote reference"/>
    <w:rsid w:val="00A73EE2"/>
    <w:rPr>
      <w:vertAlign w:val="superscript"/>
    </w:rPr>
  </w:style>
  <w:style w:type="paragraph" w:styleId="Testonotadichiusura">
    <w:name w:val="endnote text"/>
    <w:basedOn w:val="Normale"/>
    <w:link w:val="TestonotadichiusuraCarattere"/>
    <w:semiHidden/>
    <w:unhideWhenUsed/>
    <w:rsid w:val="00A73EE2"/>
    <w:pPr>
      <w:spacing w:line="240" w:lineRule="auto"/>
    </w:pPr>
  </w:style>
  <w:style w:type="character" w:customStyle="1" w:styleId="TestonotadichiusuraCarattere">
    <w:name w:val="Testo nota di chiusura Carattere"/>
    <w:link w:val="Testonotadichiusura"/>
    <w:semiHidden/>
    <w:rsid w:val="00A73EE2"/>
    <w:rPr>
      <w:rFonts w:ascii="Palatino Linotype" w:hAnsi="Palatino Linotype"/>
      <w:noProof/>
      <w:color w:val="000000"/>
    </w:rPr>
  </w:style>
  <w:style w:type="character" w:styleId="Collegamentovisitato">
    <w:name w:val="FollowedHyperlink"/>
    <w:rsid w:val="00A73EE2"/>
    <w:rPr>
      <w:color w:val="954F72"/>
      <w:u w:val="single"/>
    </w:rPr>
  </w:style>
  <w:style w:type="paragraph" w:styleId="Testonotaapidipagina">
    <w:name w:val="footnote text"/>
    <w:basedOn w:val="Normale"/>
    <w:link w:val="TestonotaapidipaginaCarattere"/>
    <w:semiHidden/>
    <w:unhideWhenUsed/>
    <w:rsid w:val="00A73EE2"/>
    <w:pPr>
      <w:spacing w:line="240" w:lineRule="auto"/>
    </w:pPr>
  </w:style>
  <w:style w:type="character" w:customStyle="1" w:styleId="TestonotaapidipaginaCarattere">
    <w:name w:val="Testo nota a piè di pagina Carattere"/>
    <w:link w:val="Testonotaapidipagina"/>
    <w:semiHidden/>
    <w:rsid w:val="00A73EE2"/>
    <w:rPr>
      <w:rFonts w:ascii="Palatino Linotype" w:hAnsi="Palatino Linotype"/>
      <w:noProof/>
      <w:color w:val="000000"/>
    </w:rPr>
  </w:style>
  <w:style w:type="paragraph" w:styleId="NormaleWeb">
    <w:name w:val="Normal (Web)"/>
    <w:basedOn w:val="Normale"/>
    <w:uiPriority w:val="99"/>
    <w:rsid w:val="00A73EE2"/>
    <w:rPr>
      <w:szCs w:val="24"/>
    </w:rPr>
  </w:style>
  <w:style w:type="paragraph" w:customStyle="1" w:styleId="MsoFootnoteText0">
    <w:name w:val="MsoFootnoteText"/>
    <w:basedOn w:val="NormaleWeb"/>
    <w:qFormat/>
    <w:rsid w:val="00A73EE2"/>
    <w:rPr>
      <w:rFonts w:ascii="Times New Roman" w:hAnsi="Times New Roman"/>
    </w:rPr>
  </w:style>
  <w:style w:type="character" w:styleId="Numeropagina">
    <w:name w:val="page number"/>
    <w:rsid w:val="00A73EE2"/>
  </w:style>
  <w:style w:type="character" w:styleId="Testosegnaposto">
    <w:name w:val="Placeholder Text"/>
    <w:uiPriority w:val="99"/>
    <w:semiHidden/>
    <w:rsid w:val="00A73EE2"/>
    <w:rPr>
      <w:color w:val="808080"/>
    </w:rPr>
  </w:style>
  <w:style w:type="paragraph" w:customStyle="1" w:styleId="MDPI71FootNotes">
    <w:name w:val="MDPI_7.1_FootNotes"/>
    <w:qFormat/>
    <w:rsid w:val="0071776F"/>
    <w:pPr>
      <w:numPr>
        <w:numId w:val="21"/>
      </w:numPr>
      <w:adjustRightInd w:val="0"/>
      <w:snapToGrid w:val="0"/>
      <w:spacing w:line="228" w:lineRule="auto"/>
    </w:pPr>
    <w:rPr>
      <w:rFonts w:ascii="Palatino Linotype" w:eastAsiaTheme="minorEastAsia" w:hAnsi="Palatino Linotype"/>
      <w:noProof/>
      <w:color w:val="000000"/>
      <w:sz w:val="18"/>
    </w:rPr>
  </w:style>
  <w:style w:type="paragraph" w:customStyle="1" w:styleId="TAMainText">
    <w:name w:val="TA_Main_Text"/>
    <w:basedOn w:val="Normale"/>
    <w:rsid w:val="0089278D"/>
    <w:pPr>
      <w:spacing w:line="480" w:lineRule="auto"/>
      <w:ind w:firstLine="202"/>
    </w:pPr>
    <w:rPr>
      <w:rFonts w:ascii="Times" w:eastAsia="Times New Roman" w:hAnsi="Times"/>
      <w:noProof w:val="0"/>
      <w:color w:val="auto"/>
      <w:sz w:val="24"/>
      <w:lang w:eastAsia="en-US"/>
    </w:rPr>
  </w:style>
  <w:style w:type="paragraph" w:customStyle="1" w:styleId="Default">
    <w:name w:val="Default"/>
    <w:rsid w:val="00B5315D"/>
    <w:pPr>
      <w:autoSpaceDE w:val="0"/>
      <w:autoSpaceDN w:val="0"/>
      <w:adjustRightInd w:val="0"/>
    </w:pPr>
    <w:rPr>
      <w:rFonts w:ascii="Symbol" w:eastAsia="Times New Roman" w:hAnsi="Symbol" w:cs="Symbo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ntonino.Cataldo@lnf.infn.it" TargetMode="External"/><Relationship Id="rId18" Type="http://schemas.openxmlformats.org/officeDocument/2006/relationships/hyperlink" Target="mailto:ferrigno@unicas.it" TargetMode="External"/><Relationship Id="rId26" Type="http://schemas.openxmlformats.org/officeDocument/2006/relationships/image" Target="media/image5.png"/><Relationship Id="rId39" Type="http://schemas.openxmlformats.org/officeDocument/2006/relationships/theme" Target="theme/theme1.xml"/><Relationship Id="rId21" Type="http://schemas.openxmlformats.org/officeDocument/2006/relationships/hyperlink" Target="mailto:laura.micheli@uniroma2.it"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laura.micheli@uniroma2.it" TargetMode="External"/><Relationship Id="rId17" Type="http://schemas.openxmlformats.org/officeDocument/2006/relationships/hyperlink" Target="mailto:mikhail.shuba@gmail.com" TargetMode="External"/><Relationship Id="rId25" Type="http://schemas.openxmlformats.org/officeDocument/2006/relationships/image" Target="media/image4.tiff"/><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sergey.maksimenko@gmail.com" TargetMode="External"/><Relationship Id="rId20" Type="http://schemas.openxmlformats.org/officeDocument/2006/relationships/hyperlink" Target="mailto:polina.kuzhir@gmail.com" TargetMode="External"/><Relationship Id="rId29" Type="http://schemas.openxmlformats.org/officeDocument/2006/relationships/image" Target="media/image8.ti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mantegazza.pietro@gmail.com" TargetMode="External"/><Relationship Id="rId24" Type="http://schemas.openxmlformats.org/officeDocument/2006/relationships/image" Target="media/image4.png"/><Relationship Id="rId32" Type="http://schemas.openxmlformats.org/officeDocument/2006/relationships/hyperlink" Target="mailto:laura.micheli@uniroma2.it"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paddubskaya@gmail.com" TargetMode="External"/><Relationship Id="rId23" Type="http://schemas.openxmlformats.org/officeDocument/2006/relationships/image" Target="media/image3.png"/><Relationship Id="rId28" Type="http://schemas.openxmlformats.org/officeDocument/2006/relationships/image" Target="media/image7.tif"/><Relationship Id="rId36" Type="http://schemas.openxmlformats.org/officeDocument/2006/relationships/header" Target="header3.xml"/><Relationship Id="rId10" Type="http://schemas.openxmlformats.org/officeDocument/2006/relationships/hyperlink" Target="mailto:roccocancelliere@gmail.com" TargetMode="External"/><Relationship Id="rId19" Type="http://schemas.openxmlformats.org/officeDocument/2006/relationships/hyperlink" Target="mailto:maffucci@unicas.it" TargetMode="External"/><Relationship Id="rId31" Type="http://schemas.openxmlformats.org/officeDocument/2006/relationships/image" Target="media/image10.tif"/><Relationship Id="rId4" Type="http://schemas.openxmlformats.org/officeDocument/2006/relationships/settings" Target="settings.xml"/><Relationship Id="rId9" Type="http://schemas.openxmlformats.org/officeDocument/2006/relationships/hyperlink" Target="mailto:alessio.ditinno@gmail.com" TargetMode="External"/><Relationship Id="rId14" Type="http://schemas.openxmlformats.org/officeDocument/2006/relationships/hyperlink" Target="mailto:stefano.bellucci@lnf.infn.it" TargetMode="External"/><Relationship Id="rId22" Type="http://schemas.openxmlformats.org/officeDocument/2006/relationships/image" Target="media/image2.tiff"/><Relationship Id="rId27" Type="http://schemas.openxmlformats.org/officeDocument/2006/relationships/image" Target="media/image6.jpeg"/><Relationship Id="rId30" Type="http://schemas.openxmlformats.org/officeDocument/2006/relationships/image" Target="media/image9.tif"/><Relationship Id="rId35" Type="http://schemas.openxmlformats.org/officeDocument/2006/relationships/footer" Target="footer1.xml"/><Relationship Id="rId8" Type="http://schemas.openxmlformats.org/officeDocument/2006/relationships/image" Target="media/image1.png"/><Relationship Id="rId3" Type="http://schemas.microsoft.com/office/2007/relationships/stylesWithEffects" Target="stylesWithEffects.xml"/></Relationships>
</file>

<file path=word/_rels/header3.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ntonio\universit&#224;\work\a.editing\papers\MDPI\Nanomaterials\nanomaterial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nanomaterials-template</Template>
  <TotalTime>0</TotalTime>
  <Pages>15</Pages>
  <Words>6682</Words>
  <Characters>38088</Characters>
  <Application>Microsoft Office Word</Application>
  <DocSecurity>0</DocSecurity>
  <Lines>317</Lines>
  <Paragraphs>89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HP</Company>
  <LinksUpToDate>false</LinksUpToDate>
  <CharactersWithSpaces>44681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creator>Utente</dc:creator>
  <cp:lastModifiedBy>Laura Micheli</cp:lastModifiedBy>
  <cp:revision>2</cp:revision>
  <dcterms:created xsi:type="dcterms:W3CDTF">2022-05-11T08:47:00Z</dcterms:created>
  <dcterms:modified xsi:type="dcterms:W3CDTF">2022-05-11T08:47:00Z</dcterms:modified>
</cp:coreProperties>
</file>