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61B9" w:rsidRPr="005961B9" w:rsidRDefault="005961B9" w:rsidP="00E4044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it-IT"/>
        </w:rPr>
      </w:pPr>
      <w:r w:rsidRPr="005961B9">
        <w:rPr>
          <w:rFonts w:ascii="Times New Roman" w:eastAsia="Times New Roman" w:hAnsi="Times New Roman" w:cs="Times New Roman"/>
          <w:b/>
          <w:bCs/>
          <w:kern w:val="36"/>
          <w:sz w:val="48"/>
          <w:szCs w:val="48"/>
          <w:lang w:val="en-US" w:eastAsia="it-IT"/>
        </w:rPr>
        <w:t>LAWLOG – WZB</w:t>
      </w:r>
    </w:p>
    <w:p w:rsidR="005961B9" w:rsidRPr="003D410B" w:rsidRDefault="005961B9" w:rsidP="00E4044B">
      <w:pPr>
        <w:spacing w:before="100" w:beforeAutospacing="1" w:after="100" w:afterAutospacing="1" w:line="240" w:lineRule="auto"/>
        <w:outlineLvl w:val="0"/>
        <w:rPr>
          <w:rFonts w:ascii="Times New Roman" w:eastAsia="Times New Roman" w:hAnsi="Times New Roman" w:cs="Times New Roman"/>
          <w:bCs/>
          <w:kern w:val="36"/>
          <w:sz w:val="24"/>
          <w:szCs w:val="24"/>
          <w:lang w:val="en-US" w:eastAsia="it-IT"/>
        </w:rPr>
      </w:pPr>
      <w:r w:rsidRPr="003D410B">
        <w:rPr>
          <w:rFonts w:ascii="Times New Roman" w:eastAsia="Times New Roman" w:hAnsi="Times New Roman" w:cs="Times New Roman"/>
          <w:bCs/>
          <w:kern w:val="36"/>
          <w:sz w:val="24"/>
          <w:szCs w:val="24"/>
          <w:lang w:val="en-US" w:eastAsia="it-IT"/>
        </w:rPr>
        <w:t>https://lawlog.blog.wzb.eu/2015/03/01/progressing-towards-a-cosmopolitan-condition-kants-ideal-for-the-formal-unity-of-international-law/</w:t>
      </w:r>
    </w:p>
    <w:p w:rsidR="0077078D" w:rsidRDefault="0077078D" w:rsidP="00E4044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it-IT"/>
        </w:rPr>
      </w:pPr>
    </w:p>
    <w:p w:rsidR="00E4044B" w:rsidRPr="00E4044B" w:rsidRDefault="00E4044B" w:rsidP="00E4044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it-IT"/>
        </w:rPr>
      </w:pPr>
      <w:r w:rsidRPr="00E4044B">
        <w:rPr>
          <w:rFonts w:ascii="Times New Roman" w:eastAsia="Times New Roman" w:hAnsi="Times New Roman" w:cs="Times New Roman"/>
          <w:b/>
          <w:bCs/>
          <w:kern w:val="36"/>
          <w:sz w:val="48"/>
          <w:szCs w:val="48"/>
          <w:lang w:val="en-US" w:eastAsia="it-IT"/>
        </w:rPr>
        <w:t>Progressing towards a Cosmopolitan Condition – Kant’s Ideal for the Formal Unity of International Law</w:t>
      </w:r>
    </w:p>
    <w:p w:rsidR="00E4044B" w:rsidRPr="00E4044B" w:rsidRDefault="00E4044B" w:rsidP="00E4044B">
      <w:pPr>
        <w:spacing w:after="0" w:line="240" w:lineRule="auto"/>
        <w:rPr>
          <w:rFonts w:ascii="Times New Roman" w:eastAsia="Times New Roman" w:hAnsi="Times New Roman" w:cs="Times New Roman"/>
          <w:sz w:val="24"/>
          <w:szCs w:val="24"/>
          <w:lang w:val="en-US" w:eastAsia="it-IT"/>
        </w:rPr>
      </w:pPr>
      <w:r w:rsidRPr="00E4044B">
        <w:rPr>
          <w:rFonts w:ascii="Times New Roman" w:eastAsia="Times New Roman" w:hAnsi="Times New Roman" w:cs="Times New Roman"/>
          <w:sz w:val="24"/>
          <w:szCs w:val="24"/>
          <w:lang w:val="en-US" w:eastAsia="it-IT"/>
        </w:rPr>
        <w:t xml:space="preserve">by </w:t>
      </w:r>
      <w:hyperlink r:id="rId4" w:tooltip="Posts by Claudio Corradetti" w:history="1">
        <w:r w:rsidRPr="005961B9">
          <w:rPr>
            <w:rFonts w:ascii="Times New Roman" w:eastAsia="Times New Roman" w:hAnsi="Times New Roman" w:cs="Times New Roman"/>
            <w:color w:val="0000FF"/>
            <w:sz w:val="24"/>
            <w:szCs w:val="24"/>
            <w:u w:val="single"/>
            <w:lang w:val="en-US" w:eastAsia="it-IT"/>
          </w:rPr>
          <w:t>Claudio Corradetti</w:t>
        </w:r>
      </w:hyperlink>
      <w:r w:rsidRPr="005961B9">
        <w:rPr>
          <w:rFonts w:ascii="Times New Roman" w:eastAsia="Times New Roman" w:hAnsi="Times New Roman" w:cs="Times New Roman"/>
          <w:sz w:val="24"/>
          <w:szCs w:val="24"/>
          <w:lang w:val="en-US" w:eastAsia="it-IT"/>
        </w:rPr>
        <w:t xml:space="preserve"> | </w:t>
      </w:r>
      <w:hyperlink r:id="rId5" w:tooltip="8:00 am" w:history="1">
        <w:r w:rsidRPr="005961B9">
          <w:rPr>
            <w:rFonts w:ascii="Times New Roman" w:eastAsia="Times New Roman" w:hAnsi="Times New Roman" w:cs="Times New Roman"/>
            <w:color w:val="0000FF"/>
            <w:sz w:val="24"/>
            <w:szCs w:val="24"/>
            <w:u w:val="single"/>
            <w:lang w:val="en-US" w:eastAsia="it-IT"/>
          </w:rPr>
          <w:t>March 2015</w:t>
        </w:r>
      </w:hyperlink>
      <w:r w:rsidRPr="00E4044B">
        <w:rPr>
          <w:rFonts w:ascii="Times New Roman" w:eastAsia="Times New Roman" w:hAnsi="Times New Roman" w:cs="Times New Roman"/>
          <w:sz w:val="24"/>
          <w:szCs w:val="24"/>
          <w:lang w:val="en-US" w:eastAsia="it-IT"/>
        </w:rPr>
        <w:t xml:space="preserve"> </w:t>
      </w:r>
    </w:p>
    <w:p w:rsidR="00E4044B" w:rsidRPr="00E4044B" w:rsidRDefault="00E4044B" w:rsidP="00E4044B">
      <w:pPr>
        <w:spacing w:before="100" w:beforeAutospacing="1" w:after="100" w:afterAutospacing="1" w:line="240" w:lineRule="auto"/>
        <w:rPr>
          <w:rFonts w:ascii="Times New Roman" w:eastAsia="Times New Roman" w:hAnsi="Times New Roman" w:cs="Times New Roman"/>
          <w:sz w:val="24"/>
          <w:szCs w:val="24"/>
          <w:lang w:val="en-US" w:eastAsia="it-IT"/>
        </w:rPr>
      </w:pPr>
      <w:r w:rsidRPr="00E4044B">
        <w:rPr>
          <w:rFonts w:ascii="Times New Roman" w:eastAsia="Times New Roman" w:hAnsi="Times New Roman" w:cs="Times New Roman"/>
          <w:sz w:val="24"/>
          <w:szCs w:val="24"/>
          <w:lang w:val="en-US" w:eastAsia="it-IT"/>
        </w:rPr>
        <w:t>There is a way in which great thinkers remain contemporary. This, I believe, is in virtue of the possibility of a continuous re-actualization of their thought in view of contemporary challenges. It is in this sense that I consider Kant’s cosmopolitan theory as guiding our understanding of the standards of the legitimacy of international law. For Kant law is legitimate if it reflects an ideal of moral freedom. Following from this premise, public right generates a “rightful condition” — a constitution (</w:t>
      </w:r>
      <w:proofErr w:type="spellStart"/>
      <w:r w:rsidRPr="005961B9">
        <w:rPr>
          <w:rFonts w:ascii="Times New Roman" w:eastAsia="Times New Roman" w:hAnsi="Times New Roman" w:cs="Times New Roman"/>
          <w:i/>
          <w:iCs/>
          <w:sz w:val="24"/>
          <w:szCs w:val="24"/>
          <w:lang w:val="en-US" w:eastAsia="it-IT"/>
        </w:rPr>
        <w:t>constitutio</w:t>
      </w:r>
      <w:proofErr w:type="spellEnd"/>
      <w:r w:rsidRPr="00E4044B">
        <w:rPr>
          <w:rFonts w:ascii="Times New Roman" w:eastAsia="Times New Roman" w:hAnsi="Times New Roman" w:cs="Times New Roman"/>
          <w:sz w:val="24"/>
          <w:szCs w:val="24"/>
          <w:lang w:val="en-US" w:eastAsia="it-IT"/>
        </w:rPr>
        <w:t xml:space="preserve">) — at both the state and at the international level. This latter notion is constructed on the model of the categorical imperative and particularly on the idea of a submission of one’s maxims as if one were “a law-making member in the universal kingdom of ends” (Kant, </w:t>
      </w:r>
      <w:r w:rsidRPr="005961B9">
        <w:rPr>
          <w:rFonts w:ascii="Times New Roman" w:eastAsia="Times New Roman" w:hAnsi="Times New Roman" w:cs="Times New Roman"/>
          <w:i/>
          <w:iCs/>
          <w:sz w:val="24"/>
          <w:szCs w:val="24"/>
          <w:lang w:val="en-US" w:eastAsia="it-IT"/>
        </w:rPr>
        <w:t>Grounding for the Metaphysics of Morals</w:t>
      </w:r>
      <w:r w:rsidRPr="00E4044B">
        <w:rPr>
          <w:rFonts w:ascii="Times New Roman" w:eastAsia="Times New Roman" w:hAnsi="Times New Roman" w:cs="Times New Roman"/>
          <w:sz w:val="24"/>
          <w:szCs w:val="24"/>
          <w:lang w:val="en-US" w:eastAsia="it-IT"/>
        </w:rPr>
        <w:t xml:space="preserve"> [1785], 4:434). For Kant public right does not only enhance freedom within the state, that is internally in the form of domestic right (civil constitutional law), but also externally through international right — </w:t>
      </w:r>
      <w:r w:rsidRPr="005961B9">
        <w:rPr>
          <w:rFonts w:ascii="Times New Roman" w:eastAsia="Times New Roman" w:hAnsi="Times New Roman" w:cs="Times New Roman"/>
          <w:i/>
          <w:iCs/>
          <w:sz w:val="24"/>
          <w:szCs w:val="24"/>
          <w:lang w:val="en-US" w:eastAsia="it-IT"/>
        </w:rPr>
        <w:t xml:space="preserve">jus </w:t>
      </w:r>
      <w:proofErr w:type="spellStart"/>
      <w:r w:rsidRPr="005961B9">
        <w:rPr>
          <w:rFonts w:ascii="Times New Roman" w:eastAsia="Times New Roman" w:hAnsi="Times New Roman" w:cs="Times New Roman"/>
          <w:i/>
          <w:iCs/>
          <w:sz w:val="24"/>
          <w:szCs w:val="24"/>
          <w:lang w:val="en-US" w:eastAsia="it-IT"/>
        </w:rPr>
        <w:t>gentium</w:t>
      </w:r>
      <w:proofErr w:type="spellEnd"/>
      <w:r w:rsidRPr="00E4044B">
        <w:rPr>
          <w:rFonts w:ascii="Times New Roman" w:eastAsia="Times New Roman" w:hAnsi="Times New Roman" w:cs="Times New Roman"/>
          <w:sz w:val="24"/>
          <w:szCs w:val="24"/>
          <w:lang w:val="en-US" w:eastAsia="it-IT"/>
        </w:rPr>
        <w:t xml:space="preserve">. Kant’s innovation, however, is the following: He thinks that international law should be supplemented by yet a further law component that regulates the relations between states and non-citizens through the cosmopolitan right as a right to hospitality (Kant, </w:t>
      </w:r>
      <w:r w:rsidRPr="005961B9">
        <w:rPr>
          <w:rFonts w:ascii="Times New Roman" w:eastAsia="Times New Roman" w:hAnsi="Times New Roman" w:cs="Times New Roman"/>
          <w:i/>
          <w:iCs/>
          <w:sz w:val="24"/>
          <w:szCs w:val="24"/>
          <w:lang w:val="en-US" w:eastAsia="it-IT"/>
        </w:rPr>
        <w:t>Perpetual Peace</w:t>
      </w:r>
      <w:r w:rsidRPr="00E4044B">
        <w:rPr>
          <w:rFonts w:ascii="Times New Roman" w:eastAsia="Times New Roman" w:hAnsi="Times New Roman" w:cs="Times New Roman"/>
          <w:sz w:val="24"/>
          <w:szCs w:val="24"/>
          <w:lang w:val="en-US" w:eastAsia="it-IT"/>
        </w:rPr>
        <w:t xml:space="preserve"> [1795] 8:358). </w:t>
      </w:r>
    </w:p>
    <w:p w:rsidR="00E4044B" w:rsidRPr="00E4044B" w:rsidRDefault="00E4044B" w:rsidP="00E4044B">
      <w:pPr>
        <w:spacing w:before="100" w:beforeAutospacing="1" w:after="100" w:afterAutospacing="1" w:line="240" w:lineRule="auto"/>
        <w:rPr>
          <w:rFonts w:ascii="Times New Roman" w:eastAsia="Times New Roman" w:hAnsi="Times New Roman" w:cs="Times New Roman"/>
          <w:sz w:val="24"/>
          <w:szCs w:val="24"/>
          <w:lang w:val="en-US" w:eastAsia="it-IT"/>
        </w:rPr>
      </w:pPr>
      <w:r w:rsidRPr="00E4044B">
        <w:rPr>
          <w:rFonts w:ascii="Times New Roman" w:eastAsia="Times New Roman" w:hAnsi="Times New Roman" w:cs="Times New Roman"/>
          <w:sz w:val="24"/>
          <w:szCs w:val="24"/>
          <w:lang w:val="en-US" w:eastAsia="it-IT"/>
        </w:rPr>
        <w:t xml:space="preserve">Now, if this is helpful to sketch the normative design of Kant’s legal cosmopolitanism, then, with regard to the constitutional implementation, the question becomes how to realize the progression towards such a global legal condition. Precisely on this point interpreters have been challenged and puzzled by Kant’s apparently contradictory solutions. My interpretation, instead, holds that Kant held only one single, coherent view all the way through his writings, a view that he illustrated in different ways by keeping faith to the idea of a gradual process of institutionalization of cosmopolitan law. Kant had a plurality of transnational arrangements in mind, which have too often been overlooked by scholars or that were merely considered as a sign of theoretical </w:t>
      </w:r>
      <w:proofErr w:type="spellStart"/>
      <w:r w:rsidRPr="00E4044B">
        <w:rPr>
          <w:rFonts w:ascii="Times New Roman" w:eastAsia="Times New Roman" w:hAnsi="Times New Roman" w:cs="Times New Roman"/>
          <w:sz w:val="24"/>
          <w:szCs w:val="24"/>
          <w:lang w:val="en-US" w:eastAsia="it-IT"/>
        </w:rPr>
        <w:t>unclarity</w:t>
      </w:r>
      <w:proofErr w:type="spellEnd"/>
      <w:r w:rsidRPr="00E4044B">
        <w:rPr>
          <w:rFonts w:ascii="Times New Roman" w:eastAsia="Times New Roman" w:hAnsi="Times New Roman" w:cs="Times New Roman"/>
          <w:sz w:val="24"/>
          <w:szCs w:val="24"/>
          <w:lang w:val="en-US" w:eastAsia="it-IT"/>
        </w:rPr>
        <w:t xml:space="preserve">. For example, what Kant calls </w:t>
      </w:r>
      <w:proofErr w:type="spellStart"/>
      <w:r w:rsidRPr="005961B9">
        <w:rPr>
          <w:rFonts w:ascii="Times New Roman" w:eastAsia="Times New Roman" w:hAnsi="Times New Roman" w:cs="Times New Roman"/>
          <w:i/>
          <w:iCs/>
          <w:sz w:val="24"/>
          <w:szCs w:val="24"/>
          <w:lang w:val="en-US" w:eastAsia="it-IT"/>
        </w:rPr>
        <w:t>Völkerstaat</w:t>
      </w:r>
      <w:proofErr w:type="spellEnd"/>
      <w:r w:rsidRPr="00E4044B">
        <w:rPr>
          <w:rFonts w:ascii="Times New Roman" w:eastAsia="Times New Roman" w:hAnsi="Times New Roman" w:cs="Times New Roman"/>
          <w:sz w:val="24"/>
          <w:szCs w:val="24"/>
          <w:lang w:val="en-US" w:eastAsia="it-IT"/>
        </w:rPr>
        <w:t xml:space="preserve">, which I translate as “the multistate confederation”, presents features that differentiate it from both “the league of states” or “the federation”, for which he uses the words </w:t>
      </w:r>
      <w:proofErr w:type="spellStart"/>
      <w:r w:rsidRPr="005961B9">
        <w:rPr>
          <w:rFonts w:ascii="Times New Roman" w:eastAsia="Times New Roman" w:hAnsi="Times New Roman" w:cs="Times New Roman"/>
          <w:i/>
          <w:iCs/>
          <w:sz w:val="24"/>
          <w:szCs w:val="24"/>
          <w:lang w:val="en-US" w:eastAsia="it-IT"/>
        </w:rPr>
        <w:t>Völkerbund</w:t>
      </w:r>
      <w:proofErr w:type="spellEnd"/>
      <w:r w:rsidRPr="00E4044B">
        <w:rPr>
          <w:rFonts w:ascii="Times New Roman" w:eastAsia="Times New Roman" w:hAnsi="Times New Roman" w:cs="Times New Roman"/>
          <w:sz w:val="24"/>
          <w:szCs w:val="24"/>
          <w:lang w:val="en-US" w:eastAsia="it-IT"/>
        </w:rPr>
        <w:t xml:space="preserve"> or </w:t>
      </w:r>
      <w:proofErr w:type="spellStart"/>
      <w:r w:rsidRPr="005961B9">
        <w:rPr>
          <w:rFonts w:ascii="Times New Roman" w:eastAsia="Times New Roman" w:hAnsi="Times New Roman" w:cs="Times New Roman"/>
          <w:i/>
          <w:iCs/>
          <w:sz w:val="24"/>
          <w:szCs w:val="24"/>
          <w:lang w:val="en-US" w:eastAsia="it-IT"/>
        </w:rPr>
        <w:t>Föderation</w:t>
      </w:r>
      <w:proofErr w:type="spellEnd"/>
      <w:r w:rsidRPr="00E4044B">
        <w:rPr>
          <w:rFonts w:ascii="Times New Roman" w:eastAsia="Times New Roman" w:hAnsi="Times New Roman" w:cs="Times New Roman"/>
          <w:sz w:val="24"/>
          <w:szCs w:val="24"/>
          <w:lang w:val="en-US" w:eastAsia="it-IT"/>
        </w:rPr>
        <w:t xml:space="preserve">, as well as from the congress of states, which he calls </w:t>
      </w:r>
      <w:proofErr w:type="spellStart"/>
      <w:r w:rsidRPr="005961B9">
        <w:rPr>
          <w:rFonts w:ascii="Times New Roman" w:eastAsia="Times New Roman" w:hAnsi="Times New Roman" w:cs="Times New Roman"/>
          <w:i/>
          <w:iCs/>
          <w:sz w:val="24"/>
          <w:szCs w:val="24"/>
          <w:lang w:val="en-US" w:eastAsia="it-IT"/>
        </w:rPr>
        <w:t>Kongreß</w:t>
      </w:r>
      <w:proofErr w:type="spellEnd"/>
      <w:r w:rsidRPr="00E4044B">
        <w:rPr>
          <w:rFonts w:ascii="Times New Roman" w:eastAsia="Times New Roman" w:hAnsi="Times New Roman" w:cs="Times New Roman"/>
          <w:sz w:val="24"/>
          <w:szCs w:val="24"/>
          <w:lang w:val="en-US" w:eastAsia="it-IT"/>
        </w:rPr>
        <w:t xml:space="preserve"> (Kant, </w:t>
      </w:r>
      <w:r w:rsidRPr="005961B9">
        <w:rPr>
          <w:rFonts w:ascii="Times New Roman" w:eastAsia="Times New Roman" w:hAnsi="Times New Roman" w:cs="Times New Roman"/>
          <w:i/>
          <w:iCs/>
          <w:sz w:val="24"/>
          <w:szCs w:val="24"/>
          <w:lang w:val="en-US" w:eastAsia="it-IT"/>
        </w:rPr>
        <w:t>Doctrine of Right</w:t>
      </w:r>
      <w:r w:rsidRPr="00E4044B">
        <w:rPr>
          <w:rFonts w:ascii="Times New Roman" w:eastAsia="Times New Roman" w:hAnsi="Times New Roman" w:cs="Times New Roman"/>
          <w:sz w:val="24"/>
          <w:szCs w:val="24"/>
          <w:lang w:val="en-US" w:eastAsia="it-IT"/>
        </w:rPr>
        <w:t xml:space="preserve">, [1797], 6:350-351). The </w:t>
      </w:r>
      <w:proofErr w:type="spellStart"/>
      <w:r w:rsidRPr="005961B9">
        <w:rPr>
          <w:rFonts w:ascii="Times New Roman" w:eastAsia="Times New Roman" w:hAnsi="Times New Roman" w:cs="Times New Roman"/>
          <w:i/>
          <w:iCs/>
          <w:sz w:val="24"/>
          <w:szCs w:val="24"/>
          <w:lang w:val="en-US" w:eastAsia="it-IT"/>
        </w:rPr>
        <w:t>Völkerstaat</w:t>
      </w:r>
      <w:proofErr w:type="spellEnd"/>
      <w:r w:rsidRPr="00E4044B">
        <w:rPr>
          <w:rFonts w:ascii="Times New Roman" w:eastAsia="Times New Roman" w:hAnsi="Times New Roman" w:cs="Times New Roman"/>
          <w:sz w:val="24"/>
          <w:szCs w:val="24"/>
          <w:lang w:val="en-US" w:eastAsia="it-IT"/>
        </w:rPr>
        <w:t xml:space="preserve"> refers to the same political entity as “the world republic” (</w:t>
      </w:r>
      <w:proofErr w:type="spellStart"/>
      <w:r w:rsidRPr="005961B9">
        <w:rPr>
          <w:rFonts w:ascii="Times New Roman" w:eastAsia="Times New Roman" w:hAnsi="Times New Roman" w:cs="Times New Roman"/>
          <w:i/>
          <w:iCs/>
          <w:sz w:val="24"/>
          <w:szCs w:val="24"/>
          <w:lang w:val="en-US" w:eastAsia="it-IT"/>
        </w:rPr>
        <w:t>Weltrepublik</w:t>
      </w:r>
      <w:proofErr w:type="spellEnd"/>
      <w:r w:rsidRPr="00E4044B">
        <w:rPr>
          <w:rFonts w:ascii="Times New Roman" w:eastAsia="Times New Roman" w:hAnsi="Times New Roman" w:cs="Times New Roman"/>
          <w:sz w:val="24"/>
          <w:szCs w:val="24"/>
          <w:lang w:val="en-US" w:eastAsia="it-IT"/>
        </w:rPr>
        <w:t>) but each term emphasizes, respectively, the internal pluralism and the “</w:t>
      </w:r>
      <w:proofErr w:type="spellStart"/>
      <w:r w:rsidRPr="00E4044B">
        <w:rPr>
          <w:rFonts w:ascii="Times New Roman" w:eastAsia="Times New Roman" w:hAnsi="Times New Roman" w:cs="Times New Roman"/>
          <w:sz w:val="24"/>
          <w:szCs w:val="24"/>
          <w:lang w:val="en-US" w:eastAsia="it-IT"/>
        </w:rPr>
        <w:t>stateness</w:t>
      </w:r>
      <w:proofErr w:type="spellEnd"/>
      <w:r w:rsidRPr="00E4044B">
        <w:rPr>
          <w:rFonts w:ascii="Times New Roman" w:eastAsia="Times New Roman" w:hAnsi="Times New Roman" w:cs="Times New Roman"/>
          <w:sz w:val="24"/>
          <w:szCs w:val="24"/>
          <w:lang w:val="en-US" w:eastAsia="it-IT"/>
        </w:rPr>
        <w:t xml:space="preserve">” component or, alternatively, the (republican) form of government and the unity of the state components (Kant, </w:t>
      </w:r>
      <w:r w:rsidRPr="005961B9">
        <w:rPr>
          <w:rFonts w:ascii="Times New Roman" w:eastAsia="Times New Roman" w:hAnsi="Times New Roman" w:cs="Times New Roman"/>
          <w:i/>
          <w:iCs/>
          <w:sz w:val="24"/>
          <w:szCs w:val="24"/>
          <w:lang w:val="en-US" w:eastAsia="it-IT"/>
        </w:rPr>
        <w:t>Perpetual Peace</w:t>
      </w:r>
      <w:r w:rsidRPr="00E4044B">
        <w:rPr>
          <w:rFonts w:ascii="Times New Roman" w:eastAsia="Times New Roman" w:hAnsi="Times New Roman" w:cs="Times New Roman"/>
          <w:sz w:val="24"/>
          <w:szCs w:val="24"/>
          <w:lang w:val="en-US" w:eastAsia="it-IT"/>
        </w:rPr>
        <w:t xml:space="preserve"> [1795], [8:357]). In turn the world republic differs from the “world monarchy” whereby the latter is categorically excluded by Kant as a feasible option for the international order (Kant, </w:t>
      </w:r>
      <w:r w:rsidRPr="005961B9">
        <w:rPr>
          <w:rFonts w:ascii="Times New Roman" w:eastAsia="Times New Roman" w:hAnsi="Times New Roman" w:cs="Times New Roman"/>
          <w:i/>
          <w:iCs/>
          <w:sz w:val="24"/>
          <w:szCs w:val="24"/>
          <w:lang w:val="en-US" w:eastAsia="it-IT"/>
        </w:rPr>
        <w:t>Perpetual Peace</w:t>
      </w:r>
      <w:r w:rsidRPr="00E4044B">
        <w:rPr>
          <w:rFonts w:ascii="Times New Roman" w:eastAsia="Times New Roman" w:hAnsi="Times New Roman" w:cs="Times New Roman"/>
          <w:sz w:val="24"/>
          <w:szCs w:val="24"/>
          <w:lang w:val="en-US" w:eastAsia="it-IT"/>
        </w:rPr>
        <w:t xml:space="preserve"> [1795], [8:367]). </w:t>
      </w:r>
    </w:p>
    <w:p w:rsidR="00E4044B" w:rsidRPr="00E4044B" w:rsidRDefault="00E4044B" w:rsidP="00E4044B">
      <w:pPr>
        <w:spacing w:before="100" w:beforeAutospacing="1" w:after="100" w:afterAutospacing="1" w:line="240" w:lineRule="auto"/>
        <w:rPr>
          <w:rFonts w:ascii="Times New Roman" w:eastAsia="Times New Roman" w:hAnsi="Times New Roman" w:cs="Times New Roman"/>
          <w:sz w:val="24"/>
          <w:szCs w:val="24"/>
          <w:lang w:val="en-US" w:eastAsia="it-IT"/>
        </w:rPr>
      </w:pPr>
      <w:r w:rsidRPr="00E4044B">
        <w:rPr>
          <w:rFonts w:ascii="Times New Roman" w:eastAsia="Times New Roman" w:hAnsi="Times New Roman" w:cs="Times New Roman"/>
          <w:sz w:val="24"/>
          <w:szCs w:val="24"/>
          <w:lang w:val="en-US" w:eastAsia="it-IT"/>
        </w:rPr>
        <w:lastRenderedPageBreak/>
        <w:t xml:space="preserve">These terminological distinctions help to interpret one of the most crucial as well as puzzling passages of Kant’s cosmopolitan theory: the famous paragraph of the </w:t>
      </w:r>
      <w:r w:rsidRPr="005961B9">
        <w:rPr>
          <w:rFonts w:ascii="Times New Roman" w:eastAsia="Times New Roman" w:hAnsi="Times New Roman" w:cs="Times New Roman"/>
          <w:i/>
          <w:iCs/>
          <w:sz w:val="24"/>
          <w:szCs w:val="24"/>
          <w:lang w:val="en-US" w:eastAsia="it-IT"/>
        </w:rPr>
        <w:t>Perpetual Peace</w:t>
      </w:r>
      <w:r w:rsidRPr="00E4044B">
        <w:rPr>
          <w:rFonts w:ascii="Times New Roman" w:eastAsia="Times New Roman" w:hAnsi="Times New Roman" w:cs="Times New Roman"/>
          <w:sz w:val="24"/>
          <w:szCs w:val="24"/>
          <w:lang w:val="en-US" w:eastAsia="it-IT"/>
        </w:rPr>
        <w:t xml:space="preserve"> where Kant draws the distinction between what is right in theory (</w:t>
      </w:r>
      <w:r w:rsidRPr="005961B9">
        <w:rPr>
          <w:rFonts w:ascii="Times New Roman" w:eastAsia="Times New Roman" w:hAnsi="Times New Roman" w:cs="Times New Roman"/>
          <w:i/>
          <w:iCs/>
          <w:sz w:val="24"/>
          <w:szCs w:val="24"/>
          <w:lang w:val="en-US" w:eastAsia="it-IT"/>
        </w:rPr>
        <w:t xml:space="preserve">in </w:t>
      </w:r>
      <w:proofErr w:type="spellStart"/>
      <w:r w:rsidRPr="005961B9">
        <w:rPr>
          <w:rFonts w:ascii="Times New Roman" w:eastAsia="Times New Roman" w:hAnsi="Times New Roman" w:cs="Times New Roman"/>
          <w:i/>
          <w:iCs/>
          <w:sz w:val="24"/>
          <w:szCs w:val="24"/>
          <w:lang w:val="en-US" w:eastAsia="it-IT"/>
        </w:rPr>
        <w:t>thesi</w:t>
      </w:r>
      <w:proofErr w:type="spellEnd"/>
      <w:r w:rsidRPr="00E4044B">
        <w:rPr>
          <w:rFonts w:ascii="Times New Roman" w:eastAsia="Times New Roman" w:hAnsi="Times New Roman" w:cs="Times New Roman"/>
          <w:sz w:val="24"/>
          <w:szCs w:val="24"/>
          <w:lang w:val="en-US" w:eastAsia="it-IT"/>
        </w:rPr>
        <w:t>) ― as with the institutionalization of a world republic ― and what is right in practice (</w:t>
      </w:r>
      <w:r w:rsidRPr="005961B9">
        <w:rPr>
          <w:rFonts w:ascii="Times New Roman" w:eastAsia="Times New Roman" w:hAnsi="Times New Roman" w:cs="Times New Roman"/>
          <w:i/>
          <w:iCs/>
          <w:sz w:val="24"/>
          <w:szCs w:val="24"/>
          <w:lang w:val="en-US" w:eastAsia="it-IT"/>
        </w:rPr>
        <w:t xml:space="preserve">in </w:t>
      </w:r>
      <w:proofErr w:type="spellStart"/>
      <w:r w:rsidRPr="005961B9">
        <w:rPr>
          <w:rFonts w:ascii="Times New Roman" w:eastAsia="Times New Roman" w:hAnsi="Times New Roman" w:cs="Times New Roman"/>
          <w:i/>
          <w:iCs/>
          <w:sz w:val="24"/>
          <w:szCs w:val="24"/>
          <w:lang w:val="en-US" w:eastAsia="it-IT"/>
        </w:rPr>
        <w:t>hypothesi</w:t>
      </w:r>
      <w:proofErr w:type="spellEnd"/>
      <w:r w:rsidRPr="00E4044B">
        <w:rPr>
          <w:rFonts w:ascii="Times New Roman" w:eastAsia="Times New Roman" w:hAnsi="Times New Roman" w:cs="Times New Roman"/>
          <w:sz w:val="24"/>
          <w:szCs w:val="24"/>
          <w:lang w:val="en-US" w:eastAsia="it-IT"/>
        </w:rPr>
        <w:t xml:space="preserve">), as with the federation of states as a negative surrogate (Kant, </w:t>
      </w:r>
      <w:r w:rsidRPr="005961B9">
        <w:rPr>
          <w:rFonts w:ascii="Times New Roman" w:eastAsia="Times New Roman" w:hAnsi="Times New Roman" w:cs="Times New Roman"/>
          <w:i/>
          <w:iCs/>
          <w:sz w:val="24"/>
          <w:szCs w:val="24"/>
          <w:lang w:val="en-US" w:eastAsia="it-IT"/>
        </w:rPr>
        <w:t>Perpetual Peace</w:t>
      </w:r>
      <w:r w:rsidRPr="00E4044B">
        <w:rPr>
          <w:rFonts w:ascii="Times New Roman" w:eastAsia="Times New Roman" w:hAnsi="Times New Roman" w:cs="Times New Roman"/>
          <w:sz w:val="24"/>
          <w:szCs w:val="24"/>
          <w:lang w:val="en-US" w:eastAsia="it-IT"/>
        </w:rPr>
        <w:t xml:space="preserve"> [1795] 8:35). But it is exactly where interpreters have dismissed Kant’s important introduction of a third terminological distinction: the </w:t>
      </w:r>
      <w:proofErr w:type="spellStart"/>
      <w:r w:rsidRPr="005961B9">
        <w:rPr>
          <w:rFonts w:ascii="Times New Roman" w:eastAsia="Times New Roman" w:hAnsi="Times New Roman" w:cs="Times New Roman"/>
          <w:i/>
          <w:iCs/>
          <w:sz w:val="24"/>
          <w:szCs w:val="24"/>
          <w:lang w:val="en-US" w:eastAsia="it-IT"/>
        </w:rPr>
        <w:t>Völkerstaat</w:t>
      </w:r>
      <w:proofErr w:type="spellEnd"/>
      <w:r w:rsidRPr="00E4044B">
        <w:rPr>
          <w:rFonts w:ascii="Times New Roman" w:eastAsia="Times New Roman" w:hAnsi="Times New Roman" w:cs="Times New Roman"/>
          <w:sz w:val="24"/>
          <w:szCs w:val="24"/>
          <w:lang w:val="en-US" w:eastAsia="it-IT"/>
        </w:rPr>
        <w:t xml:space="preserve">. What was Kant’s reason for this? The reason, I believe, is that Kant thinks that the world republic as an ideal cannot be achieved, and even if it were, it would soon turn into a despotic state (Kant, </w:t>
      </w:r>
      <w:r w:rsidRPr="005961B9">
        <w:rPr>
          <w:rFonts w:ascii="Times New Roman" w:eastAsia="Times New Roman" w:hAnsi="Times New Roman" w:cs="Times New Roman"/>
          <w:i/>
          <w:iCs/>
          <w:sz w:val="24"/>
          <w:szCs w:val="24"/>
          <w:lang w:val="en-US" w:eastAsia="it-IT"/>
        </w:rPr>
        <w:t>Perpetual Peace</w:t>
      </w:r>
      <w:r w:rsidRPr="00E4044B">
        <w:rPr>
          <w:rFonts w:ascii="Times New Roman" w:eastAsia="Times New Roman" w:hAnsi="Times New Roman" w:cs="Times New Roman"/>
          <w:sz w:val="24"/>
          <w:szCs w:val="24"/>
          <w:lang w:val="en-US" w:eastAsia="it-IT"/>
        </w:rPr>
        <w:t xml:space="preserve"> [1795], 8:367). We have to start from the most realistic and nearest configuration. The league of states, though suboptimal, serves this purpose even though it does not represent a desirable end. But it can serve as a starting point. The question then is towards which model should we proceed? This is where the notion of the </w:t>
      </w:r>
      <w:proofErr w:type="spellStart"/>
      <w:r w:rsidRPr="005961B9">
        <w:rPr>
          <w:rFonts w:ascii="Times New Roman" w:eastAsia="Times New Roman" w:hAnsi="Times New Roman" w:cs="Times New Roman"/>
          <w:i/>
          <w:iCs/>
          <w:sz w:val="24"/>
          <w:szCs w:val="24"/>
          <w:lang w:val="en-US" w:eastAsia="it-IT"/>
        </w:rPr>
        <w:t>Völkerstaat</w:t>
      </w:r>
      <w:proofErr w:type="spellEnd"/>
      <w:r w:rsidRPr="00E4044B">
        <w:rPr>
          <w:rFonts w:ascii="Times New Roman" w:eastAsia="Times New Roman" w:hAnsi="Times New Roman" w:cs="Times New Roman"/>
          <w:sz w:val="24"/>
          <w:szCs w:val="24"/>
          <w:lang w:val="en-US" w:eastAsia="it-IT"/>
        </w:rPr>
        <w:t xml:space="preserve"> as the “multistate confederation” (as I translate it), and its </w:t>
      </w:r>
      <w:r w:rsidRPr="005961B9">
        <w:rPr>
          <w:rFonts w:ascii="Times New Roman" w:eastAsia="Times New Roman" w:hAnsi="Times New Roman" w:cs="Times New Roman"/>
          <w:i/>
          <w:iCs/>
          <w:sz w:val="24"/>
          <w:szCs w:val="24"/>
          <w:lang w:val="en-US" w:eastAsia="it-IT"/>
        </w:rPr>
        <w:t>regulative ideal</w:t>
      </w:r>
      <w:r w:rsidRPr="00E4044B">
        <w:rPr>
          <w:rFonts w:ascii="Times New Roman" w:eastAsia="Times New Roman" w:hAnsi="Times New Roman" w:cs="Times New Roman"/>
          <w:sz w:val="24"/>
          <w:szCs w:val="24"/>
          <w:lang w:val="en-US" w:eastAsia="it-IT"/>
        </w:rPr>
        <w:t xml:space="preserve"> for the transitional progression towards peace comes into play. The multistate confederation represents an “</w:t>
      </w:r>
      <w:r w:rsidRPr="005961B9">
        <w:rPr>
          <w:rFonts w:ascii="Times New Roman" w:eastAsia="Times New Roman" w:hAnsi="Times New Roman" w:cs="Times New Roman"/>
          <w:i/>
          <w:iCs/>
          <w:sz w:val="24"/>
          <w:szCs w:val="24"/>
          <w:lang w:val="en-US" w:eastAsia="it-IT"/>
        </w:rPr>
        <w:t>as if</w:t>
      </w:r>
      <w:r w:rsidRPr="00E4044B">
        <w:rPr>
          <w:rFonts w:ascii="Times New Roman" w:eastAsia="Times New Roman" w:hAnsi="Times New Roman" w:cs="Times New Roman"/>
          <w:sz w:val="24"/>
          <w:szCs w:val="24"/>
          <w:lang w:val="en-US" w:eastAsia="it-IT"/>
        </w:rPr>
        <w:t xml:space="preserve">” standard for the coordination of states according to a lawful condition. In this way Kant formulates a standard for the formal unity of international law despite the absence of an ultimate adjudicative authority that we would find in a world republic. Such unity is characterized by a certain degree of internal pluralism (it is a multistate confederation after all) which is shaped in accordance to the standards of cosmopolitan right. These standards approximate what we call human rights standards or the principle of </w:t>
      </w:r>
      <w:r w:rsidRPr="005961B9">
        <w:rPr>
          <w:rFonts w:ascii="Times New Roman" w:eastAsia="Times New Roman" w:hAnsi="Times New Roman" w:cs="Times New Roman"/>
          <w:i/>
          <w:iCs/>
          <w:sz w:val="24"/>
          <w:szCs w:val="24"/>
          <w:lang w:val="en-US" w:eastAsia="it-IT"/>
        </w:rPr>
        <w:t>non-</w:t>
      </w:r>
      <w:proofErr w:type="spellStart"/>
      <w:r w:rsidRPr="005961B9">
        <w:rPr>
          <w:rFonts w:ascii="Times New Roman" w:eastAsia="Times New Roman" w:hAnsi="Times New Roman" w:cs="Times New Roman"/>
          <w:i/>
          <w:iCs/>
          <w:sz w:val="24"/>
          <w:szCs w:val="24"/>
          <w:lang w:val="en-US" w:eastAsia="it-IT"/>
        </w:rPr>
        <w:t>refoulement</w:t>
      </w:r>
      <w:proofErr w:type="spellEnd"/>
      <w:r w:rsidRPr="00E4044B">
        <w:rPr>
          <w:rFonts w:ascii="Times New Roman" w:eastAsia="Times New Roman" w:hAnsi="Times New Roman" w:cs="Times New Roman"/>
          <w:sz w:val="24"/>
          <w:szCs w:val="24"/>
          <w:lang w:val="en-US" w:eastAsia="it-IT"/>
        </w:rPr>
        <w:t>, to draw a parallel with the contemporary legal arrangements.</w:t>
      </w:r>
    </w:p>
    <w:p w:rsidR="00E4044B" w:rsidRPr="00E4044B" w:rsidRDefault="00E4044B" w:rsidP="00E4044B">
      <w:pPr>
        <w:spacing w:before="100" w:beforeAutospacing="1" w:after="100" w:afterAutospacing="1" w:line="240" w:lineRule="auto"/>
        <w:rPr>
          <w:rFonts w:ascii="Times New Roman" w:eastAsia="Times New Roman" w:hAnsi="Times New Roman" w:cs="Times New Roman"/>
          <w:sz w:val="24"/>
          <w:szCs w:val="24"/>
          <w:lang w:val="en-US" w:eastAsia="it-IT"/>
        </w:rPr>
      </w:pPr>
      <w:r w:rsidRPr="00E4044B">
        <w:rPr>
          <w:rFonts w:ascii="Times New Roman" w:eastAsia="Times New Roman" w:hAnsi="Times New Roman" w:cs="Times New Roman"/>
          <w:sz w:val="24"/>
          <w:szCs w:val="24"/>
          <w:lang w:val="en-US" w:eastAsia="it-IT"/>
        </w:rPr>
        <w:t xml:space="preserve">Let me conclude with one further remark for a re-actualization of Kant’s cosmopolitan insight. Kant’s formal concept for the unity of international law helps us to further our understanding of the standards of validity of international adjudication today. If one considers some of the most prominent cases illustrating, for instance, the controversy between the European Court of Justice and the United Nations Security Council Resolution 1267, like the </w:t>
      </w:r>
      <w:proofErr w:type="spellStart"/>
      <w:r w:rsidRPr="005961B9">
        <w:rPr>
          <w:rFonts w:ascii="Times New Roman" w:eastAsia="Times New Roman" w:hAnsi="Times New Roman" w:cs="Times New Roman"/>
          <w:i/>
          <w:iCs/>
          <w:sz w:val="24"/>
          <w:szCs w:val="24"/>
          <w:lang w:val="en-US" w:eastAsia="it-IT"/>
        </w:rPr>
        <w:t>Kadi</w:t>
      </w:r>
      <w:proofErr w:type="spellEnd"/>
      <w:r w:rsidRPr="00E4044B">
        <w:rPr>
          <w:rFonts w:ascii="Times New Roman" w:eastAsia="Times New Roman" w:hAnsi="Times New Roman" w:cs="Times New Roman"/>
          <w:sz w:val="24"/>
          <w:szCs w:val="24"/>
          <w:lang w:val="en-US" w:eastAsia="it-IT"/>
        </w:rPr>
        <w:t xml:space="preserve"> case, it becomes apparent, how the interpretation of a formal standard of unity helps orient transnational adjudication. The condition of the formal unity of international law sets a </w:t>
      </w:r>
      <w:proofErr w:type="spellStart"/>
      <w:r w:rsidRPr="00E4044B">
        <w:rPr>
          <w:rFonts w:ascii="Times New Roman" w:eastAsia="Times New Roman" w:hAnsi="Times New Roman" w:cs="Times New Roman"/>
          <w:sz w:val="24"/>
          <w:szCs w:val="24"/>
          <w:lang w:val="en-US" w:eastAsia="it-IT"/>
        </w:rPr>
        <w:t>universalizable</w:t>
      </w:r>
      <w:proofErr w:type="spellEnd"/>
      <w:r w:rsidRPr="00E4044B">
        <w:rPr>
          <w:rFonts w:ascii="Times New Roman" w:eastAsia="Times New Roman" w:hAnsi="Times New Roman" w:cs="Times New Roman"/>
          <w:sz w:val="24"/>
          <w:szCs w:val="24"/>
          <w:lang w:val="en-US" w:eastAsia="it-IT"/>
        </w:rPr>
        <w:t xml:space="preserve"> standard of judicial reasoning as it establishes that any valid adjudication at the international level has to be valid “</w:t>
      </w:r>
      <w:r w:rsidRPr="005961B9">
        <w:rPr>
          <w:rFonts w:ascii="Times New Roman" w:eastAsia="Times New Roman" w:hAnsi="Times New Roman" w:cs="Times New Roman"/>
          <w:i/>
          <w:iCs/>
          <w:sz w:val="24"/>
          <w:szCs w:val="24"/>
          <w:lang w:val="en-US" w:eastAsia="it-IT"/>
        </w:rPr>
        <w:t>as if</w:t>
      </w:r>
      <w:r w:rsidRPr="00E4044B">
        <w:rPr>
          <w:rFonts w:ascii="Times New Roman" w:eastAsia="Times New Roman" w:hAnsi="Times New Roman" w:cs="Times New Roman"/>
          <w:sz w:val="24"/>
          <w:szCs w:val="24"/>
          <w:lang w:val="en-US" w:eastAsia="it-IT"/>
        </w:rPr>
        <w:t>” it were to be applicable in the context of one single multistate confederation (</w:t>
      </w:r>
      <w:proofErr w:type="spellStart"/>
      <w:r w:rsidRPr="005961B9">
        <w:rPr>
          <w:rFonts w:ascii="Times New Roman" w:eastAsia="Times New Roman" w:hAnsi="Times New Roman" w:cs="Times New Roman"/>
          <w:i/>
          <w:iCs/>
          <w:sz w:val="24"/>
          <w:szCs w:val="24"/>
          <w:lang w:val="en-US" w:eastAsia="it-IT"/>
        </w:rPr>
        <w:t>Völkerstaat</w:t>
      </w:r>
      <w:proofErr w:type="spellEnd"/>
      <w:r w:rsidRPr="00E4044B">
        <w:rPr>
          <w:rFonts w:ascii="Times New Roman" w:eastAsia="Times New Roman" w:hAnsi="Times New Roman" w:cs="Times New Roman"/>
          <w:sz w:val="24"/>
          <w:szCs w:val="24"/>
          <w:lang w:val="en-US" w:eastAsia="it-IT"/>
        </w:rPr>
        <w:t>). The contemporary proliferation of horizontal and vertical networks and regimes as well as the so called “</w:t>
      </w:r>
      <w:proofErr w:type="spellStart"/>
      <w:r w:rsidRPr="00E4044B">
        <w:rPr>
          <w:rFonts w:ascii="Times New Roman" w:eastAsia="Times New Roman" w:hAnsi="Times New Roman" w:cs="Times New Roman"/>
          <w:sz w:val="24"/>
          <w:szCs w:val="24"/>
          <w:lang w:val="en-US" w:eastAsia="it-IT"/>
        </w:rPr>
        <w:t>judicialization</w:t>
      </w:r>
      <w:proofErr w:type="spellEnd"/>
      <w:r w:rsidRPr="00E4044B">
        <w:rPr>
          <w:rFonts w:ascii="Times New Roman" w:eastAsia="Times New Roman" w:hAnsi="Times New Roman" w:cs="Times New Roman"/>
          <w:sz w:val="24"/>
          <w:szCs w:val="24"/>
          <w:lang w:val="en-US" w:eastAsia="it-IT"/>
        </w:rPr>
        <w:t>” of international relations represent just one further step in the direction of what Kant already saw as a new standard of validity for international law in view of individual claims of cosmopolitan citizenship.</w:t>
      </w:r>
    </w:p>
    <w:p w:rsidR="00E4044B" w:rsidRPr="00E4044B" w:rsidRDefault="00E4044B" w:rsidP="00E4044B">
      <w:pPr>
        <w:spacing w:after="0" w:line="240" w:lineRule="auto"/>
        <w:rPr>
          <w:rFonts w:ascii="Times New Roman" w:eastAsia="Times New Roman" w:hAnsi="Times New Roman" w:cs="Times New Roman"/>
          <w:sz w:val="24"/>
          <w:szCs w:val="24"/>
          <w:lang w:eastAsia="it-IT"/>
        </w:rPr>
      </w:pPr>
      <w:r w:rsidRPr="00E4044B">
        <w:rPr>
          <w:rFonts w:ascii="Times New Roman" w:eastAsia="Times New Roman" w:hAnsi="Times New Roman" w:cs="Times New Roman"/>
          <w:sz w:val="24"/>
          <w:szCs w:val="24"/>
          <w:lang w:eastAsia="it-IT"/>
        </w:rPr>
        <w:pict>
          <v:rect id="_x0000_i1025" style="width:0;height:1.5pt" o:hralign="center" o:hrstd="t" o:hr="t" fillcolor="#a0a0a0" stroked="f"/>
        </w:pict>
      </w:r>
    </w:p>
    <w:p w:rsidR="00E4044B" w:rsidRPr="00E4044B" w:rsidRDefault="00E4044B" w:rsidP="00E4044B">
      <w:pPr>
        <w:spacing w:after="0" w:line="240" w:lineRule="auto"/>
        <w:rPr>
          <w:rFonts w:ascii="Times New Roman" w:eastAsia="Times New Roman" w:hAnsi="Times New Roman" w:cs="Times New Roman"/>
          <w:sz w:val="24"/>
          <w:szCs w:val="24"/>
          <w:lang w:val="en-US" w:eastAsia="it-IT"/>
        </w:rPr>
      </w:pPr>
      <w:r w:rsidRPr="00E4044B">
        <w:rPr>
          <w:rFonts w:ascii="Times New Roman" w:eastAsia="Times New Roman" w:hAnsi="Times New Roman" w:cs="Times New Roman"/>
          <w:sz w:val="24"/>
          <w:szCs w:val="24"/>
          <w:lang w:val="en-US" w:eastAsia="it-IT"/>
        </w:rPr>
        <w:t xml:space="preserve">Claudio </w:t>
      </w:r>
      <w:proofErr w:type="spellStart"/>
      <w:r w:rsidRPr="00E4044B">
        <w:rPr>
          <w:rFonts w:ascii="Times New Roman" w:eastAsia="Times New Roman" w:hAnsi="Times New Roman" w:cs="Times New Roman"/>
          <w:sz w:val="24"/>
          <w:szCs w:val="24"/>
          <w:lang w:val="en-US" w:eastAsia="it-IT"/>
        </w:rPr>
        <w:t>Corradetti’s</w:t>
      </w:r>
      <w:proofErr w:type="spellEnd"/>
      <w:r w:rsidRPr="00E4044B">
        <w:rPr>
          <w:rFonts w:ascii="Times New Roman" w:eastAsia="Times New Roman" w:hAnsi="Times New Roman" w:cs="Times New Roman"/>
          <w:sz w:val="24"/>
          <w:szCs w:val="24"/>
          <w:lang w:val="en-US" w:eastAsia="it-IT"/>
        </w:rPr>
        <w:t xml:space="preserve"> article </w:t>
      </w:r>
      <w:r w:rsidRPr="005961B9">
        <w:rPr>
          <w:rFonts w:ascii="Times New Roman" w:eastAsia="Times New Roman" w:hAnsi="Times New Roman" w:cs="Times New Roman"/>
          <w:b/>
          <w:bCs/>
          <w:sz w:val="24"/>
          <w:szCs w:val="24"/>
          <w:lang w:val="en-US" w:eastAsia="it-IT"/>
        </w:rPr>
        <w:t xml:space="preserve">“Kant’s Legacy and the Idea of Transitional Jus </w:t>
      </w:r>
      <w:proofErr w:type="spellStart"/>
      <w:r w:rsidRPr="005961B9">
        <w:rPr>
          <w:rFonts w:ascii="Times New Roman" w:eastAsia="Times New Roman" w:hAnsi="Times New Roman" w:cs="Times New Roman"/>
          <w:b/>
          <w:bCs/>
          <w:sz w:val="24"/>
          <w:szCs w:val="24"/>
          <w:lang w:val="en-US" w:eastAsia="it-IT"/>
        </w:rPr>
        <w:t>Cosmopoliticum</w:t>
      </w:r>
      <w:proofErr w:type="spellEnd"/>
      <w:r w:rsidRPr="005961B9">
        <w:rPr>
          <w:rFonts w:ascii="Times New Roman" w:eastAsia="Times New Roman" w:hAnsi="Times New Roman" w:cs="Times New Roman"/>
          <w:b/>
          <w:bCs/>
          <w:sz w:val="24"/>
          <w:szCs w:val="24"/>
          <w:lang w:val="en-US" w:eastAsia="it-IT"/>
        </w:rPr>
        <w:t>”</w:t>
      </w:r>
      <w:r w:rsidRPr="00E4044B">
        <w:rPr>
          <w:rFonts w:ascii="Times New Roman" w:eastAsia="Times New Roman" w:hAnsi="Times New Roman" w:cs="Times New Roman"/>
          <w:sz w:val="24"/>
          <w:szCs w:val="24"/>
          <w:lang w:val="en-US" w:eastAsia="it-IT"/>
        </w:rPr>
        <w:t xml:space="preserve"> is forthcoming with </w:t>
      </w:r>
      <w:r w:rsidRPr="005961B9">
        <w:rPr>
          <w:rFonts w:ascii="Times New Roman" w:eastAsia="Times New Roman" w:hAnsi="Times New Roman" w:cs="Times New Roman"/>
          <w:i/>
          <w:iCs/>
          <w:sz w:val="24"/>
          <w:szCs w:val="24"/>
          <w:lang w:val="en-US" w:eastAsia="it-IT"/>
        </w:rPr>
        <w:t xml:space="preserve">Ratio </w:t>
      </w:r>
      <w:proofErr w:type="spellStart"/>
      <w:r w:rsidRPr="005961B9">
        <w:rPr>
          <w:rFonts w:ascii="Times New Roman" w:eastAsia="Times New Roman" w:hAnsi="Times New Roman" w:cs="Times New Roman"/>
          <w:i/>
          <w:iCs/>
          <w:sz w:val="24"/>
          <w:szCs w:val="24"/>
          <w:lang w:val="en-US" w:eastAsia="it-IT"/>
        </w:rPr>
        <w:t>Juris</w:t>
      </w:r>
      <w:proofErr w:type="spellEnd"/>
      <w:r w:rsidRPr="00E4044B">
        <w:rPr>
          <w:rFonts w:ascii="Times New Roman" w:eastAsia="Times New Roman" w:hAnsi="Times New Roman" w:cs="Times New Roman"/>
          <w:sz w:val="24"/>
          <w:szCs w:val="24"/>
          <w:lang w:val="en-US" w:eastAsia="it-IT"/>
        </w:rPr>
        <w:t xml:space="preserve">. Access is already available through the author’s </w:t>
      </w:r>
      <w:hyperlink r:id="rId6" w:tgtFrame="_blank" w:tooltip="SSRN" w:history="1">
        <w:r w:rsidRPr="005961B9">
          <w:rPr>
            <w:rFonts w:ascii="Times New Roman" w:eastAsia="Times New Roman" w:hAnsi="Times New Roman" w:cs="Times New Roman"/>
            <w:color w:val="0000FF"/>
            <w:sz w:val="24"/>
            <w:szCs w:val="24"/>
            <w:u w:val="single"/>
            <w:lang w:val="en-US" w:eastAsia="it-IT"/>
          </w:rPr>
          <w:t>SSRN</w:t>
        </w:r>
      </w:hyperlink>
      <w:r w:rsidRPr="00E4044B">
        <w:rPr>
          <w:rFonts w:ascii="Times New Roman" w:eastAsia="Times New Roman" w:hAnsi="Times New Roman" w:cs="Times New Roman"/>
          <w:sz w:val="24"/>
          <w:szCs w:val="24"/>
          <w:lang w:val="en-US" w:eastAsia="it-IT"/>
        </w:rPr>
        <w:t xml:space="preserve"> page.</w:t>
      </w:r>
    </w:p>
    <w:p w:rsidR="00E4044B" w:rsidRPr="00E4044B" w:rsidRDefault="00E4044B" w:rsidP="00E4044B">
      <w:pPr>
        <w:spacing w:before="100" w:beforeAutospacing="1" w:after="100" w:afterAutospacing="1" w:line="240" w:lineRule="auto"/>
        <w:outlineLvl w:val="2"/>
        <w:rPr>
          <w:rFonts w:ascii="Times New Roman" w:eastAsia="Times New Roman" w:hAnsi="Times New Roman" w:cs="Times New Roman"/>
          <w:b/>
          <w:bCs/>
          <w:sz w:val="27"/>
          <w:szCs w:val="27"/>
          <w:lang w:val="en-US" w:eastAsia="it-IT"/>
        </w:rPr>
      </w:pPr>
      <w:r w:rsidRPr="00E4044B">
        <w:rPr>
          <w:rFonts w:ascii="Times New Roman" w:eastAsia="Times New Roman" w:hAnsi="Times New Roman" w:cs="Times New Roman"/>
          <w:b/>
          <w:bCs/>
          <w:sz w:val="27"/>
          <w:szCs w:val="27"/>
          <w:lang w:val="en-US" w:eastAsia="it-IT"/>
        </w:rPr>
        <w:t xml:space="preserve">Written by </w:t>
      </w:r>
      <w:hyperlink r:id="rId7" w:tooltip="Posts by Claudio Corradetti" w:history="1">
        <w:r w:rsidRPr="005961B9">
          <w:rPr>
            <w:rFonts w:ascii="Times New Roman" w:eastAsia="Times New Roman" w:hAnsi="Times New Roman" w:cs="Times New Roman"/>
            <w:b/>
            <w:bCs/>
            <w:color w:val="0000FF"/>
            <w:sz w:val="27"/>
            <w:szCs w:val="27"/>
            <w:u w:val="single"/>
            <w:lang w:val="en-US" w:eastAsia="it-IT"/>
          </w:rPr>
          <w:t>Claudio Corradetti</w:t>
        </w:r>
      </w:hyperlink>
    </w:p>
    <w:p w:rsidR="00E4044B" w:rsidRPr="00E4044B" w:rsidRDefault="00E4044B" w:rsidP="00E4044B">
      <w:pPr>
        <w:spacing w:before="100" w:beforeAutospacing="1" w:after="100" w:afterAutospacing="1" w:line="240" w:lineRule="auto"/>
        <w:rPr>
          <w:rFonts w:ascii="Times New Roman" w:eastAsia="Times New Roman" w:hAnsi="Times New Roman" w:cs="Times New Roman"/>
          <w:sz w:val="24"/>
          <w:szCs w:val="24"/>
          <w:lang w:eastAsia="it-IT"/>
        </w:rPr>
      </w:pPr>
      <w:r w:rsidRPr="00E4044B">
        <w:rPr>
          <w:rFonts w:ascii="Times New Roman" w:eastAsia="Times New Roman" w:hAnsi="Times New Roman" w:cs="Times New Roman"/>
          <w:sz w:val="24"/>
          <w:szCs w:val="24"/>
          <w:lang w:val="en-US" w:eastAsia="it-IT"/>
        </w:rPr>
        <w:t>Claudio Corradetti is Postdoctoral Fellow of the “</w:t>
      </w:r>
      <w:proofErr w:type="spellStart"/>
      <w:r w:rsidRPr="00E4044B">
        <w:rPr>
          <w:rFonts w:ascii="Times New Roman" w:eastAsia="Times New Roman" w:hAnsi="Times New Roman" w:cs="Times New Roman"/>
          <w:sz w:val="24"/>
          <w:szCs w:val="24"/>
          <w:lang w:val="en-US" w:eastAsia="it-IT"/>
        </w:rPr>
        <w:t>PluriCourts</w:t>
      </w:r>
      <w:proofErr w:type="spellEnd"/>
      <w:r w:rsidRPr="00E4044B">
        <w:rPr>
          <w:rFonts w:ascii="Times New Roman" w:eastAsia="Times New Roman" w:hAnsi="Times New Roman" w:cs="Times New Roman"/>
          <w:sz w:val="24"/>
          <w:szCs w:val="24"/>
          <w:lang w:val="en-US" w:eastAsia="it-IT"/>
        </w:rPr>
        <w:t xml:space="preserve">” Centre for the </w:t>
      </w:r>
      <w:proofErr w:type="spellStart"/>
      <w:r w:rsidRPr="00E4044B">
        <w:rPr>
          <w:rFonts w:ascii="Times New Roman" w:eastAsia="Times New Roman" w:hAnsi="Times New Roman" w:cs="Times New Roman"/>
          <w:sz w:val="24"/>
          <w:szCs w:val="24"/>
          <w:lang w:val="en-US" w:eastAsia="it-IT"/>
        </w:rPr>
        <w:t>the</w:t>
      </w:r>
      <w:proofErr w:type="spellEnd"/>
      <w:r w:rsidRPr="00E4044B">
        <w:rPr>
          <w:rFonts w:ascii="Times New Roman" w:eastAsia="Times New Roman" w:hAnsi="Times New Roman" w:cs="Times New Roman"/>
          <w:sz w:val="24"/>
          <w:szCs w:val="24"/>
          <w:lang w:val="en-US" w:eastAsia="it-IT"/>
        </w:rPr>
        <w:t xml:space="preserve"> Study of the Legitimate Roles of the Judiciary in the Global Order at the University of Oslo as well as Lecturer in the Master's Degree </w:t>
      </w:r>
      <w:proofErr w:type="spellStart"/>
      <w:r w:rsidRPr="00E4044B">
        <w:rPr>
          <w:rFonts w:ascii="Times New Roman" w:eastAsia="Times New Roman" w:hAnsi="Times New Roman" w:cs="Times New Roman"/>
          <w:sz w:val="24"/>
          <w:szCs w:val="24"/>
          <w:lang w:val="en-US" w:eastAsia="it-IT"/>
        </w:rPr>
        <w:t>Programme</w:t>
      </w:r>
      <w:proofErr w:type="spellEnd"/>
      <w:r w:rsidRPr="00E4044B">
        <w:rPr>
          <w:rFonts w:ascii="Times New Roman" w:eastAsia="Times New Roman" w:hAnsi="Times New Roman" w:cs="Times New Roman"/>
          <w:sz w:val="24"/>
          <w:szCs w:val="24"/>
          <w:lang w:val="en-US" w:eastAsia="it-IT"/>
        </w:rPr>
        <w:t xml:space="preserve"> "Theory and Practice of Human Rights" of the Norwegian Center for Human Rights at the University of Oslo. He is a Visiting Researcher at the WZB Rule of Law Center between January 2015 and July 2015. </w:t>
      </w:r>
      <w:r w:rsidRPr="00E4044B">
        <w:rPr>
          <w:rFonts w:ascii="Times New Roman" w:eastAsia="Times New Roman" w:hAnsi="Times New Roman" w:cs="Times New Roman"/>
          <w:sz w:val="24"/>
          <w:szCs w:val="24"/>
          <w:lang w:val="en-US" w:eastAsia="it-IT"/>
        </w:rPr>
        <w:br/>
      </w:r>
      <w:hyperlink r:id="rId8" w:history="1">
        <w:r w:rsidRPr="00E4044B">
          <w:rPr>
            <w:rFonts w:ascii="Times New Roman" w:eastAsia="Times New Roman" w:hAnsi="Times New Roman" w:cs="Times New Roman"/>
            <w:color w:val="0000FF"/>
            <w:sz w:val="24"/>
            <w:szCs w:val="24"/>
            <w:u w:val="single"/>
            <w:lang w:eastAsia="it-IT"/>
          </w:rPr>
          <w:t xml:space="preserve">Website at the </w:t>
        </w:r>
        <w:proofErr w:type="spellStart"/>
        <w:r w:rsidRPr="00E4044B">
          <w:rPr>
            <w:rFonts w:ascii="Times New Roman" w:eastAsia="Times New Roman" w:hAnsi="Times New Roman" w:cs="Times New Roman"/>
            <w:color w:val="0000FF"/>
            <w:sz w:val="24"/>
            <w:szCs w:val="24"/>
            <w:u w:val="single"/>
            <w:lang w:eastAsia="it-IT"/>
          </w:rPr>
          <w:t>University</w:t>
        </w:r>
        <w:proofErr w:type="spellEnd"/>
        <w:r w:rsidRPr="00E4044B">
          <w:rPr>
            <w:rFonts w:ascii="Times New Roman" w:eastAsia="Times New Roman" w:hAnsi="Times New Roman" w:cs="Times New Roman"/>
            <w:color w:val="0000FF"/>
            <w:sz w:val="24"/>
            <w:szCs w:val="24"/>
            <w:u w:val="single"/>
            <w:lang w:eastAsia="it-IT"/>
          </w:rPr>
          <w:t xml:space="preserve"> </w:t>
        </w:r>
        <w:proofErr w:type="spellStart"/>
        <w:r w:rsidRPr="00E4044B">
          <w:rPr>
            <w:rFonts w:ascii="Times New Roman" w:eastAsia="Times New Roman" w:hAnsi="Times New Roman" w:cs="Times New Roman"/>
            <w:color w:val="0000FF"/>
            <w:sz w:val="24"/>
            <w:szCs w:val="24"/>
            <w:u w:val="single"/>
            <w:lang w:eastAsia="it-IT"/>
          </w:rPr>
          <w:t>of</w:t>
        </w:r>
        <w:proofErr w:type="spellEnd"/>
        <w:r w:rsidRPr="00E4044B">
          <w:rPr>
            <w:rFonts w:ascii="Times New Roman" w:eastAsia="Times New Roman" w:hAnsi="Times New Roman" w:cs="Times New Roman"/>
            <w:color w:val="0000FF"/>
            <w:sz w:val="24"/>
            <w:szCs w:val="24"/>
            <w:u w:val="single"/>
            <w:lang w:eastAsia="it-IT"/>
          </w:rPr>
          <w:t xml:space="preserve"> Oslo</w:t>
        </w:r>
      </w:hyperlink>
      <w:r w:rsidRPr="00E4044B">
        <w:rPr>
          <w:rFonts w:ascii="Times New Roman" w:eastAsia="Times New Roman" w:hAnsi="Times New Roman" w:cs="Times New Roman"/>
          <w:sz w:val="24"/>
          <w:szCs w:val="24"/>
          <w:lang w:eastAsia="it-IT"/>
        </w:rPr>
        <w:t xml:space="preserve"> </w:t>
      </w:r>
    </w:p>
    <w:p w:rsidR="00487BDF" w:rsidRDefault="00487BDF"/>
    <w:sectPr w:rsidR="00487BDF" w:rsidSect="00487BDF">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E4044B"/>
    <w:rsid w:val="003D410B"/>
    <w:rsid w:val="00487BDF"/>
    <w:rsid w:val="005961B9"/>
    <w:rsid w:val="0077078D"/>
    <w:rsid w:val="00E4044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87BDF"/>
  </w:style>
  <w:style w:type="paragraph" w:styleId="Titolo1">
    <w:name w:val="heading 1"/>
    <w:basedOn w:val="Normale"/>
    <w:link w:val="Titolo1Carattere"/>
    <w:uiPriority w:val="9"/>
    <w:qFormat/>
    <w:rsid w:val="00E4044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E4044B"/>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4044B"/>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E4044B"/>
    <w:rPr>
      <w:rFonts w:ascii="Times New Roman" w:eastAsia="Times New Roman" w:hAnsi="Times New Roman" w:cs="Times New Roman"/>
      <w:b/>
      <w:bCs/>
      <w:sz w:val="27"/>
      <w:szCs w:val="27"/>
      <w:lang w:eastAsia="it-IT"/>
    </w:rPr>
  </w:style>
  <w:style w:type="character" w:customStyle="1" w:styleId="author">
    <w:name w:val="author"/>
    <w:basedOn w:val="Carpredefinitoparagrafo"/>
    <w:rsid w:val="00E4044B"/>
  </w:style>
  <w:style w:type="character" w:styleId="Collegamentoipertestuale">
    <w:name w:val="Hyperlink"/>
    <w:basedOn w:val="Carpredefinitoparagrafo"/>
    <w:uiPriority w:val="99"/>
    <w:semiHidden/>
    <w:unhideWhenUsed/>
    <w:rsid w:val="00E4044B"/>
    <w:rPr>
      <w:color w:val="0000FF"/>
      <w:u w:val="single"/>
    </w:rPr>
  </w:style>
  <w:style w:type="character" w:customStyle="1" w:styleId="byline">
    <w:name w:val="byline"/>
    <w:basedOn w:val="Carpredefinitoparagrafo"/>
    <w:rsid w:val="00E4044B"/>
  </w:style>
  <w:style w:type="paragraph" w:styleId="NormaleWeb">
    <w:name w:val="Normal (Web)"/>
    <w:basedOn w:val="Normale"/>
    <w:uiPriority w:val="99"/>
    <w:semiHidden/>
    <w:unhideWhenUsed/>
    <w:rsid w:val="00E4044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E4044B"/>
    <w:rPr>
      <w:i/>
      <w:iCs/>
    </w:rPr>
  </w:style>
  <w:style w:type="character" w:styleId="Enfasigrassetto">
    <w:name w:val="Strong"/>
    <w:basedOn w:val="Carpredefinitoparagrafo"/>
    <w:uiPriority w:val="22"/>
    <w:qFormat/>
    <w:rsid w:val="00E4044B"/>
    <w:rPr>
      <w:b/>
      <w:bCs/>
    </w:rPr>
  </w:style>
  <w:style w:type="paragraph" w:customStyle="1" w:styleId="author-description">
    <w:name w:val="author-description"/>
    <w:basedOn w:val="Normale"/>
    <w:rsid w:val="00E4044B"/>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1893301858">
      <w:bodyDiv w:val="1"/>
      <w:marLeft w:val="0"/>
      <w:marRight w:val="0"/>
      <w:marTop w:val="0"/>
      <w:marBottom w:val="0"/>
      <w:divBdr>
        <w:top w:val="none" w:sz="0" w:space="0" w:color="auto"/>
        <w:left w:val="none" w:sz="0" w:space="0" w:color="auto"/>
        <w:bottom w:val="none" w:sz="0" w:space="0" w:color="auto"/>
        <w:right w:val="none" w:sz="0" w:space="0" w:color="auto"/>
      </w:divBdr>
      <w:divsChild>
        <w:div w:id="190000186">
          <w:marLeft w:val="0"/>
          <w:marRight w:val="0"/>
          <w:marTop w:val="0"/>
          <w:marBottom w:val="0"/>
          <w:divBdr>
            <w:top w:val="none" w:sz="0" w:space="0" w:color="auto"/>
            <w:left w:val="none" w:sz="0" w:space="0" w:color="auto"/>
            <w:bottom w:val="none" w:sz="0" w:space="0" w:color="auto"/>
            <w:right w:val="none" w:sz="0" w:space="0" w:color="auto"/>
          </w:divBdr>
        </w:div>
        <w:div w:id="882255739">
          <w:marLeft w:val="0"/>
          <w:marRight w:val="0"/>
          <w:marTop w:val="0"/>
          <w:marBottom w:val="0"/>
          <w:divBdr>
            <w:top w:val="none" w:sz="0" w:space="0" w:color="auto"/>
            <w:left w:val="none" w:sz="0" w:space="0" w:color="auto"/>
            <w:bottom w:val="none" w:sz="0" w:space="0" w:color="auto"/>
            <w:right w:val="none" w:sz="0" w:space="0" w:color="auto"/>
          </w:divBdr>
        </w:div>
        <w:div w:id="768699686">
          <w:marLeft w:val="0"/>
          <w:marRight w:val="0"/>
          <w:marTop w:val="0"/>
          <w:marBottom w:val="0"/>
          <w:divBdr>
            <w:top w:val="none" w:sz="0" w:space="0" w:color="auto"/>
            <w:left w:val="none" w:sz="0" w:space="0" w:color="auto"/>
            <w:bottom w:val="none" w:sz="0" w:space="0" w:color="auto"/>
            <w:right w:val="none" w:sz="0" w:space="0" w:color="auto"/>
          </w:divBdr>
          <w:divsChild>
            <w:div w:id="56210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uio.no/ior/english/people/aca/corradec/" TargetMode="External"/><Relationship Id="rId3" Type="http://schemas.openxmlformats.org/officeDocument/2006/relationships/webSettings" Target="webSettings.xml"/><Relationship Id="rId7" Type="http://schemas.openxmlformats.org/officeDocument/2006/relationships/hyperlink" Target="https://lawlog.blog.wzb.eu/author/claudio-corradet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rn.com/abstract=2398433" TargetMode="External"/><Relationship Id="rId5" Type="http://schemas.openxmlformats.org/officeDocument/2006/relationships/hyperlink" Target="https://lawlog.blog.wzb.eu/2015/03/01/progressing-towards-a-cosmopolitan-condition-kants-ideal-for-the-formal-unity-of-international-law/" TargetMode="External"/><Relationship Id="rId10" Type="http://schemas.openxmlformats.org/officeDocument/2006/relationships/theme" Target="theme/theme1.xml"/><Relationship Id="rId4" Type="http://schemas.openxmlformats.org/officeDocument/2006/relationships/hyperlink" Target="https://lawlog.blog.wzb.eu/author/claudio-corradetti/" TargetMode="Externa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1140</Words>
  <Characters>6499</Characters>
  <Application>Microsoft Office Word</Application>
  <DocSecurity>0</DocSecurity>
  <Lines>54</Lines>
  <Paragraphs>15</Paragraphs>
  <ScaleCrop>false</ScaleCrop>
  <Company/>
  <LinksUpToDate>false</LinksUpToDate>
  <CharactersWithSpaces>7624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dc:creator>
  <cp:keywords/>
  <dc:description/>
  <cp:lastModifiedBy>claudio</cp:lastModifiedBy>
  <cp:revision>5</cp:revision>
  <dcterms:created xsi:type="dcterms:W3CDTF">2015-04-26T20:19:00Z</dcterms:created>
  <dcterms:modified xsi:type="dcterms:W3CDTF">2015-04-26T20:20:00Z</dcterms:modified>
</cp:coreProperties>
</file>